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5784-2004, promovida por la Sección Segunda de la Audiencia Provincial de Tarragona, en relación con la disposición final quinta de la Ley Orgánica 15/2003, de 25 de noviembre, de reforma del Código penal, por posible vulneración de los arts. 9.3, 24.1 y 25.1 CE. Han intervenido el Fiscal General del Estado y el Abogado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septiembre de 2004 tuvo entrada en el Registro General de este Tribunal un testimonio de actuaciones remitido por la Sección Segunda de la Audiencia Provincial de Tarragona correspondiente al rollo de apelación núm. 598-2004, del que forma parte el Auto de 15 de septiembre de 2004, por medio del cual el órgano judicial acuerda plantear cuestión de inconstitucionalidad sobre la disposición final quinta de la Ley Orgánica 15/2003, de 25 de noviembre, en relación su disposición transitoria primera, en la medida en que no contempla, como regla de derecho transitorio, la inmediata entrada en vigor del párrafo segundo (sic) del apartado 185 de su artículo único, por el que se modifica el art. 636 del Código penal, destipificándose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agentes de la guardia urbana de Reus, se celebró en el Juzgado de Instrucción núm. 1 de dicha localidad el juicio de faltas núm. 513-2003, recayendo Sentencia el 5 de febrero de 2004 en la que se declara probado que el 4 de septiembre de 2003 don Manuel Hernández Sánchez conducía el vehículo de su propiedad matrícula T-….-T careciendo de seguro obligatorio de responsabilidad civil, condenándose al denunciado, como autor de la falta prevista en el art. 636 CP, a la pena de 360 euros de multa, así como al abono de las costas procesales.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el condenado, correspondiendo su conocimiento a la Sección Segunda de la Audiencia Provincial de Tarragona, que, con arreglo al art. 82.2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9 de julio de 2004 acordando oír a las partes, a los efectos del art. 35 LOTC, acerca de la conveniencia de plantear cuestión de inconstitucionalidad sobre la disposición final quinta de la Ley Orgánica 15/2003, de 25 de noviembre, en relación con su disposición transitoria primera, en la medida en que no se contempla, como regla de derecho transitorio, la inmediata entrada en vigor del párrafo segundo (sic) del apartado 185 del artículo único de la mencionada Ley. Se añade que el establecimiento de una vacatio legis de más de diez meses de la norma que destipifica la conducción de vehículos a motor sin la cobertura aseguraticia obligatoria podría entrar en colisión con el principio de interdicción de la arbitrariedad de los poderes públicos (art. 9 CE), el principio de legalidad penal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La apelante, en escrito presentado el 29 de julio de 2004, manifestó su plena conformidad con la promoción de la cuestión de inconstitucionalidad, mientras que el Ministerio Fiscal no efectuó alegaciones. </w:t>
      </w:r>
    </w:p>
    <w:p w:rsidRPr="00C21FFE" w:rsidR="00F31FAF" w:rsidRDefault="00356547">
      <w:pPr>
        <w:rPr/>
      </w:pPr>
      <w:r w:rsidRPr="&lt;w:rPr xmlns:w=&quot;http://schemas.openxmlformats.org/wordprocessingml/2006/main&quot;&gt;&lt;w:lang w:val=&quot;es-ES_tradnl&quot; /&gt;&lt;/w:rPr&gt;">
        <w:rPr/>
        <w:t xml:space="preserve">e) El 15 de septiembre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configurativa de la que dispone el legislador para determinar los espacios de intervención penal y las consecuencias que se deriven de los mismos, razonándose seguidamente acerca de la incidencia de los principios de protección, responsabilidad y sanción, como condicionantes de la adecuación de la actividad legislativa al nivel de racionalidad ética exigible, alcanzando como conclusiones: que el legislador no puede utilizar cualquier procedimiento legislativo para castigar una conducta; que el legislador no puede castigar cualquier conducta desvinculándose de los fines de protección constitucionalmente legítimos; y que el legislador no puede castigar con cualquier pena o sanción, independizada de necesidades axiológicas de prevención especial o general y sin tomar en cuenta las exigencias de culpabilidad. El traslado de las anteriores consideraciones -que más extensamente se desarrollan en la resolución judicial- lleva al Magistrado proponente a concluir que el legislador penal no puede seguir castigando una conducta después de que la ley promulgada la destipifique; ni utilizar la transitoriedad de la norma posterior para mantener durante más de diez meses la sanción de una conducta a la que expresamente priva de valor penalmente antijurídico; ni retrasar las consecuencias derivadas de la publicación de una norma penal más favorable; ni, en fin, castigar durante el tiempo que quiera, y a término, una conducta. </w:t>
      </w:r>
    </w:p>
    <w:p w:rsidRPr="00C21FFE" w:rsidR="00F31FAF" w:rsidRDefault="00356547">
      <w:pPr>
        <w:rPr/>
      </w:pPr>
      <w:r w:rsidRPr="&lt;w:rPr xmlns:w=&quot;http://schemas.openxmlformats.org/wordprocessingml/2006/main&quot;&gt;&lt;w:lang w:val=&quot;es-ES_tradnl&quot; /&gt;&lt;/w:rPr&gt;">
        <w:rPr/>
        <w:t xml:space="preserve">Se añade que las exigencias de racionalidad ética obligan a que el legislador -una vez concluido el proceso de toma de decisión normativa y promulgada la norma destipificadora- instrumente los mecanismos necesarios y previstos en las reglas de producción (art. 2 CC) para que su efecto sobre los procedimientos pendientes y sobre los comportamientos excluidos del ámbito de prohibición se proyecte de la manera más rápida posible. En los supuestos destipificadores o reductores de la prohibición, la nueva norma muestra que el propio legislador considera ya innecesaria o excesiva la aplicación de la norma anterior, aunque estuviera vigente en el momento de producirse los hechos enjuiciados, por lo que, en tales casos, la aplicación de la norma penal más favorable deviene en exigencia constitucional, ya sea como manifestación del principio de prohibición del exceso o de interdicción de la arbitrariedad, ya sea como consecuencia de la dimensión material del principio de legalidad (art. 25.1 CE). </w:t>
      </w:r>
    </w:p>
    <w:p w:rsidRPr="00C21FFE" w:rsidR="00F31FAF" w:rsidRDefault="00356547">
      <w:pPr>
        <w:rPr/>
      </w:pPr>
      <w:r w:rsidRPr="&lt;w:rPr xmlns:w=&quot;http://schemas.openxmlformats.org/wordprocessingml/2006/main&quot;&gt;&lt;w:lang w:val=&quot;es-ES_tradnl&quot; /&gt;&lt;/w:rPr&gt;">
        <w:rPr/>
        <w:t xml:space="preserve">La imposibilidad de identificar una razón justificativa del establecimiento de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9.3 CE), lesionando el derecho subjetivo de todo ciudadano a que la legalidad penal se ajuste a los mandatos constitucionales, en particular a las exigencias de protección y de sanción (art. 25.1 CE), desconociendo, además, el derecho de toda persona a no verse sometida, de manera injusta o carente de causa, a un proceso inculpatorio limitativo de su libertad (art. 24.1 CE). </w:t>
      </w:r>
    </w:p>
    <w:p w:rsidRPr="00C21FFE" w:rsidR="00F31FAF" w:rsidRDefault="00356547">
      <w:pPr>
        <w:rPr/>
      </w:pPr>
      <w:r w:rsidRPr="&lt;w:rPr xmlns:w=&quot;http://schemas.openxmlformats.org/wordprocessingml/2006/main&quot;&gt;&lt;w:lang w:val=&quot;es-ES_tradnl&quot; /&gt;&lt;/w:rPr&gt;">
        <w:rPr/>
        <w:t xml:space="preserve">Concluye el Auto refiriéndose al juicio de relevancia, señalando al efecto que la culpabilidad que se discute en el recurso de apelación pende de la vigencia del tipo que sirvió de título a la condena en instancia y cuya derogación impide la norma cuestionada, de modo que la exclusión de la vacatio legis conllevaría la aplicación de la norma más beneficiosa para el reo y la consiguiente estimación del recurso de apelación. Señala asimismo que la cuestión se plantea concluso el procedimiento y dentro del plazo para dictar sentencia en el recurso de apelación, por lo que se satisfacen las exigencias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enero de 2005 la Sección Tercera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7 de febrero de 2005 (núm. 32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8 de febrero de 2005, la Presidencia del Congreso de los Diputados comunicó que, aunque la Cámara no se personaría en el procedimiento ni formularía alegaciones, ponía a disposición del Tribunal las actuaciones que pudiera precisar. El 10 de febrero del mismo año el Presidente del Senado comunicó el acuerdo, de la Mesa de la Cámara, de personación en el procedimiento y de ofrecimiento de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15 de febrero de 2005, en el que propugna la inadmisión de la cuestión de inconstitucionalidad en la medida en que, a su juicio, el fallo que haya de recaer en el proceso judicial a quo no depende de la validez del precepto cuestionado. Entiende el Abogado del Estado que la conducta enjuiciada tuvo lugar mucho antes de la publicación de la Ley Orgánica 15/2003, de 25 de noviembre, de modo que resulta por completo indiferente que su disposición final quinta establezca una prolongada vacatio legis o que, tal como propugna el Auto de planteamiento, se hubiera dispuesto la inmediata entrada en vigor del nuevo párrafo segundo del art. 636 CP, ya que en ambos casos la novedad legal resultaría aplicable exclusivamente en virtud de la retroactividad derivada del art. 2.2 CP y de las disposiciones transitorias de la Ley. En todo caso, sólo el primer inciso de la disposición cuestionada resulta relevante para la resolución del proceso a quo.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15 de febrero de 2005,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Finalmente, recuerda el Ministerio Fiscal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febrero de 2010 presentó escrito el Abogado del Estado, en el cual pide que se dicte sentencia declarando inadmisible la cuestión de inconstitucionalidad, o auto declarándola extinguida,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presentado el 24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2010 el Pleno acordó deferir la resolución de la presente cuestión de inconstitucionalidad a la Sala Segunda,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22 de abril de 2010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Audiencia Provincial de Tarragona -actuando como tribunal unipersonal, conforme al art. 82.2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A juicio del Magistrado proponente, el establecimiento de una vacatio legis de más de diez meses para la entrada en vigor del precepto despenalizador de la indicada conducta infringe el principio de interdicción de la arbitrariedad de los poderes públicos en relación con el de proporcionalidad (art.  9.3 CE), así como el principio de legalidad penal material (art. 25.1 CE) y el derecho a la tutela judicial efectiva (art. 24.1 CE). En fórmula de síntesis, el órgano judicial considera que de los indicados preceptos constitucionales se deriva la imposición de que las normas penales más favorables entren inmediatamente en vigor.</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nos corresponde valorar la incidencia que en el mismo deba tener la circunstancia de que, durante su tramitación, el precepto despenalizador de la conducta enjuiciada en el proceso penal del que dimana la cuestión de inconstitucionalidad -la conducción de un vehículo a 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Pues bien, tanto la duda de constitucionalidad planteada como las posiciones de las partes intervinientes en el presente proceso constitucional son idénticas a aquéllas a las que dio respuesta el Pleno de este Tribunal en la STC 6/2010, de 14 de abril, por lo que ha de apreciarse también aquí una pérdida sobrevenida de la relevancia del precepto legal cuestionado para la resolución del proceso del que trae causa la cuestión de inconstitucionalidad. En efecto,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dejó de erigirse en obstáculo para la aplicación de la nueva redacción del precepto penal, ello como consecuencia del principio de retroactividad de la ley penal más favorable acogido en el art. 2.2 del Código penal con carácter general, y con carácter particular en las disposiciones transitorias primera y quinta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La imposibilidad de que el órgano judicial pueda ya resolver el recurso de apelación que pende ante el mismo mediante la aplicación del art. 636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5784-2004 planteada por la Sección Segunda de la Audiencia Provincial de Tarragona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