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Campanón Suarez presentó escrito en este Tribunal el 21 de octubre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dos de diciembre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le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7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