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16</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13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Carlos Morales Duran presentó escrito en este Tribunal el 26 de octubre solicitando la reforma inmediata del Código Penal y Ley de Enjuiciamiento Criminal, la aceleración urgente de su proceso juridico y juicio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once de noviembre acordó hacer saber al solicitante que según lo dispuesto en el art. 49.1, en relación con el 81.1 de la L.O.T.C., el amparo debe pedirse mediante demanda, con la dirección de Abogado y bajo la representación de Procurador. En su virtud se otorgó al solicitante un plazo de diez días para que designara Abogado y Procurador que lo defienda y represente, pudiendo, asimismo, interesar de este Tribunal que se haga el nombramiento del turno de oficio. Igualmente acordó hacer saber al solicitante, que una vez nombrados Abogado y Procurador, y aceptado el nombramiento por éstos se otorgará un plazo de diez días para que formalicen la demanda, tal como dispone el art. 49 de la L.O.T.C. A estos efectos, si pidiere el nombramiento de oficio podrá remitir al Tribunal Constitucional una relación circunstanciada de los hechos en que funde el amparo y los documentos con que-cuente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dia 23 de noviembre, ha transcurrido el plazo de diez días sin que el solicitante comparezca por medio de Abogado y Procurador, 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 50.1.b) en relación con el 49-1 y 80.1,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