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ÁNGEL TORO ÁLZATE, presentó escrito en es te Tribunal el 26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dos de diciembre pasado, acordó hacer saber al solicitante que según lo dispuesto en el articulo 49.1, en relación con el 81.1 de la L.O.T.C., el Amparo debe pedirse mediante demanda, con la dirección de Abogado y bajo la representación de Procurador. En su virtud, se otorgó al solicitante un plazo de diez dias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dias para que formalicen la demanda, tal y como dispone el artículo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siete de diciembre del pasado año,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El solicitante ha dejado transcurrir el plazo de diez dias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