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González Macias, se dirigió a este Tribunal Constitucional en escrito que se recibió el veintiséis de octubre del pasado año, poniendo de manifiesto que lleva en prisión preventiva siete días, por razón de causa penal y solicitando la reforma del Código Penal y de la Ley de Enjuiciamiento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nueve de diciembre pasado que el recurrente compareciera por medio de Procurador y bajo la dirección de Abogado, tal como dispone el artículo 81.1 de la L.O.T.C. y al notificársele esta providencia, se ha hecho constar por el Juzgado de Instrucción nº once de Madrid que fue puesto en libertad provisional el diez de octubre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recurrente, sólo es materia propia del amparo la referente al derecho a un proceso debido sin dilaciones excesivas que generen una privación de libertad mas allá de lo que el carácter preventivo requiere en orden a la instrucción penal, pues las otras peticiones de que se proceda a una reforma legislativa, no pueden tener como destinatario a este Tribunal Constitucional, como se infiere de las competencias que asigna el artículo 22 de la L.O. T.C. Como el recurrente ha sido puesto en libertad, el amparo deja de tener razón de ser, quedando por tanto sin contenido, lo que justifica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