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Mario Andrés García Diez presentó escrito en este Tribunal el 21 de octubre del pasado año solicitando la reforma inmediata del Código Penal y Ley de Enjuiciamiento Criminal, la aceleración urgente de su proceso jurídico y juicio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dos de diciembre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le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catorce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 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