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78</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3 de febrero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Eduardo Colado Romero presentó escrito en este Tribunal el 26 de octubre de mil novecientos ochenta y uno, solicitando la reforma inmediata del Código Penal y Ley de Enjuiciamiento Criminal, la aceleración urgente de su proceso jurídico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dieciseis de diciembre pasado, acordó hacer saber al solicitante que según lo dispuesto en el art. 49.1 en relación con el 81.1 de la Ley Orgánica del Tribunal Constitucional (L.O.T.C.) el amparo debe pedirse mediante demanda, con la dirección de Abogado y bajo la representación de Procurador. En su virtud se otorgó al solicitante un plazo de diez días para que designara Abogado y Procurador que lo defienda y represente, pudiendo, asimismo, interesar de este Tribunal que se haga el nombramiento de turno de oficio. Igualmente acordó hacer saber al solicitante que una vez nombrados Abogado y Procurador, y aceptado el nombramiento por estos se otorgará un plazo de diez días para que formalicen la demanda, tal como dispone el art. 49. de la L.O.T.C. A estos efectos, si pidiere el nombramiento de oficio, podrá remitir al Tribunal Constitucional una relación circunstanciada de los hechos en que funde el amparo y los documentos con que cuente para justificarlos.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día dieciocho de enero, ha transcurrido el plazo de diez días sin que el solicitante comparezca por medio de Abogado y Procurador, sin que tampoco haya solicitado el nombramiento del turno de oficio. 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solicitante ha dejado transcurrir el plazo de diez días sin acogerse a la posibilidad de subsanación prevista en el art. 85.2 de la L.O.T.C. pues ni ha comparecido por medio de Procurador y con la asistencia de Letrado, ni ha pedido a este Tribunal que se designen profesionales del turno de oficio. El transcurso del indicado plazo sin que se subsanara la omisión determina la inadmisión del recurso tal como dispone el art. 50.1.b) en relación con el 49.1 y 80 todos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febrero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