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Sr. Iglesias Meléndez, se dirigió a este Tribunal Constitucional en escrito que se recibió el veintiséis de octubre del pasado año, poniendo de manifiesto que lleva en prisión preventiva tres meses y seis dias, por razón de causa penal y solicitando la reforma del Código Penal y de la Ley de Enjuiciamiento Criminal, y si procede, su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acordó por providencia de dieciséis de diciembre pasado que el recurrente compareciera por medio de Procurador y bajo la dirección de Abogado, tal como dispone el artículo 81.1 de la Ley Orgánica del Tribunal Constitucional (L.O.T.C.), y al notificársele esta providencia, se ha hecho constar por el Juzgado de Instrucción nº nueve de Madrid que fue puesto en libertad provisional el dieciocho de diciembre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las distintas peticiones que ha hecho el recurrente, sólo es materia propia del amparo la referente al derecho a un proceso debido sin dilaciones excesivas que generen una privación de libertad más allá de lo que el carácter preventivo requiere en orden a la instrucción penal, pues las otras peticiones de que se proceda a una reforma legislativa, no pueden tener como destinatario a este Tribunal Constitucional, como se infiere de las competencias que asigna el articulo 2º de la L.O.T.C.. Como el recurrente ha sido puesto en libertad, el amparo deja de tener razón de ser, quedando por tanto sin contenido, lo que justifica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recurso de que se ha hecho mérito por falta de contenido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