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DIEGO CASTRO CABRERA presentó escrito en este Tribunal Constitucional el 26 de octubre de 1981, solicitando la reforma inmediata del Código Penal y Ley de Enjuiciamiento Criminal, la aceleración urgente de su proceso juridico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dia dieciocho de noviembre de mil novecientos ochenta y uno, acordó hacer saber al solicitante que según lo dispuesto en el art. 49.1, en relación con el 81.1 de la L.O.T.C., el amparo debe pedirse mediante demanda, con la dirección de Abogado y bajo la representación de Procurador. En su virtud, se otorgó al solicitante un plazo de diez dias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dias para que formalicen la demanda, tal como dispone el articulo 49 de la L.O.T.C. A estos efectos, si pidiere el nombramiento de oficio, podría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dieciseis de febrero pasado,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0. Único: El solicitante ha dejado transcurrir el plazo de diez días sin acogerse a la posibilidad de subsanación prevista en el articulo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