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19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visto el recurso de amparo promovido por don José Luis Rodríguez Baena, el que denuncia una serie de actuaciones del Director del Centro Penitenciario de Cumplimiento y Diligencias de Huesca.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Don José Luis Rodríguez Baena, interno en el Centro Penitenciario de Cumplimiento y Diligencias de Huesca, dirigió escrito a este Tribunal Constitucional a través de la Dirección de dicho establecimiento penal, que tuvo entrada el día 20 de abril de 1982, promoviendo recurso de amparo constitucional contra una serie de supuestos delitos que manifiesta se vienen cometiendo en el Centro donde se halla internado, y solicitando la apertura de una investigación sobre la conducta del Director de dicho establecimiento, a fin de exigirle las responsabilidades a que hubiere lugar, y proceder a su procesamiento y su cese inmediato en el cargo que ostenta hasta ver comprobados dichos hechos.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escrito del señor Rodríguez Baena pide una instrucción sumarial y una depuración de responsabilidades, que, a juicio de quien lo firma, son de orden penal y de orden disciplinario. Tal pretensión no es de las que el art. 161.1 de la Constitución y art. 2 de la Ley Orgánica del Tribunal Constitucional, encomiendan a este Tribunal Constitucional.  Por esto, de oficio y tal como previene el art. 4.2 de la LOTC, procede apreciar la falta de jurisdicción.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falta de jurisdicción para conocer de los hechos que se denuncian en el meritado escrito, lo que se notificará al interesado y al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