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formulado por don Francis Mastrorelli.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ll de enero pasado se presentó ante este Tribunal demanda de amparo en nombre de don Francis Mastrorelli, contra Auto de la Sección Primera de la Audiencia Provincial de Madrid de 25 de noviembre anterior, confirmatorio de providencia de la propia Sección que había denegado rebajar la fianza señalada al recurrente, a la sazón procesado, para garantizar su libertad provisional en la causa correspondiente al sumario núm. 112/1980 del Juzgado de Instrucción núm. 19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Constitucional acordó en 16 de febrero pasado poner de manifiesto al Ministerio Fiscal y al recurrente la posible carencia de contenido constitucional de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5 de marzo en curso, la representación del demandante ha presentado escrito desistiendo de este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escrito de desistimiento se fundamenta en la consideración de que el recurrente ha obtenido de la Audiencia Provincial de Madrid la reducción de la fianza originariamente fijada para gozar del beneficio de la libertad provisional. Forzoso es entender, por tanto, que el desistimiento es realmente consecuencia de la satisfacción extraprocesal de la petición deducida ante nosotros, que queda por ello vacía de contenido.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tener por terminado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