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agosto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de suspensión en el recurso arriba indicado.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20 de julio pasado se presentó por la «Compañía Internacional de Seguros, S. A.», demanda de amparo frente a providencia dictada por el Juzgado de Instrucción núm. 1, de Hospitalet, de 5 de abril de 1983, que requirió a la demandante al abono de una completa indemnización en lugar de sólo las cantidades cubiertas por el Seguro Obligatorio de Automóviles.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En la referida demanda de amparo se pidió la suspensión de la ejecución de la resolución impugnada, formándose la correspondiente pieza separada en que fueron oídos la demandante y el Ministerio Fiscal.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representación demandante ratificó lo alegado en la demanda, en que exponía que el amparo perdería su finalidad con la ejecución que pretendía se suspendiese.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Ministerio Fiscal expone que de las alegaciones del recurrente no se deriva que la ejecución pueda ocasionar perjuicio excluyente de la eficacia del amparo.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En la demanda no se precisa cuáles son los perjuicios que para el derecho fundamental cuya protección se pide, pudieran derivarse de la ejecución de la resolución recurrida. Y esta omisión no se subsana en el escrito presentado en el trámite del art. 56.2 de la LOTC, por lo que falta el presupuesto para adoptar una decisión de suspensión.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denegar la suspensión de que se ha hecho mérito.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agosto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