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Miguel Angel Osorio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Miguel Angel Osorio Martínez, debidamente representado y dirigido técnicamente por el Letrado don Gabriel Navarro Cristóbal, presentó demanda de amparo contra el Auto del T. C. T. de 13 de septiembre de 1983, por el que se declaró desierto el recurso de suplicación interpuesto por él contra la Sentencia de la Magistratura de Trabajo de Guadalajara de 6 de diciembre de 1982, por entender que tal recurso fue interpuesto fuera del plazo establecido por el art. 154 de la L. P. L. La representación del recurrente en amparo considera que tal inadmisión produjo indefensión en su representado, por lo que vulneró el art. 54 de la C. E. y debe ser ahora anulada.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puso de manifiesto a las partes la posible concurrencia de dos causas de inadmisibilidad: a) la del 49.2 b), en relación con el 50.1 b); b) la del 50.2 b), todos de la LOTC. En el plazo común de alegaciones, el recurrente, junto con su escrito, acompañó copia de las resoluciones impugnadas, además de argumentar en contra de la concurrencia de la causa del 50.2 b ). El Fiscal General del Estado aprecia ese motivo de inadmisibilidad y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 pesar de haber sido subsanada la primera de las causas de inadmisibilidad, el recurso debe ser declarado inadmisible por concurrir el motivo del 50.2 b) de la LOTC. En efecto, la representación del recurrente no desvirtúa en modo alguno el motivo jurídico de extemporaneidad de su recurso de suplicación que fue el fundamento único y explícito del fallo adverso contenido en el Auto que ahora impugna. El art.  154 de la L. P. L. es un precepto cuyo incumplimiento puede provocar perjuicios lamentables, pero cuya recta aplicación no puede sin más constituir vulneración de los derechos fundamentales.  Que sean frecuentes dilaciones no deseables (también previstas por cierto en nuestro texto constitucional como contrarias a las garantías procesales fundamentales) no permite fenómenos, tales como la compensación de los retrasos o el libre incumplimiento de los plazos, lo que equivaldría a la destrucción misma del proceso.  La representación del recurrente con su apasionada defensa de los intereses de su representado no logra desvanecer un hecho (la tardía presentación de su recurso de suplicación ) ni consigue argüir razón alguna que permita hallar indicios de violación de ningún derecho fundamental.  La demanda, pues, incurre en la causa del 50.2 b ) de la LOTC, y por ello debe ser inadmitido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promovido por don Miguel Angel Osorio Martínez.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