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0. El día 17 de julio de 1984 tuvo entrada en este Tribunal Constitucional escrito de don Jesús Blanco Fernández en el que se decía que se interponía recurso de amparo contra la Ley 20/1984 de 15 de junio sobre situaciones del personal de las Fuerzas Armadas, y en particular contra sus Disposiciones Adicionales Primera, número dos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L.O.T.C. dice que el Tribunal Constitucional apreciará, de oficio o a instancia de parte, su falta de jurisdicción o de competencia. En el presente caso el recurrente presenta bajo el nombre de recurso de amparo lo que es en realidad un recurso de inconstitucionalidad contra determinadas disposiciones de una Ley y pide que se enjuicie la conformidad o disconformidad con la Constitución de aquellas disposiciones. Para que este Tribunal Constitucional pueda ejercer su competencia sobre este tipo de recurso es preciso que estos se planteen por los órganos o partes do órganos citados en los artículos 164.1.a de la Constitución y 32 de la L.O.T.C. sin que los particulares estén en ningún caso habilitados para interponerlos.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