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27 de diciembre de 1983, don Vicente Lérida Rodríguez, condenado por un delito de tenencia ilícita de armas y por otro de robo con intimidación con agravante específica de uso de armas, manifiesta su propósito de formular recurso de amparo, por vulneración del derecho a la presunción de inocencia reconocido en el art. 24.2 de la Constitución, contra la Sentencia de 7 de diciembre de 1983 de la Sala Segunda del Tribunal Supremo en recurso 116/1983, y la de 18 de noviembre de 1982 de la Sección Segunda de la Audiencia Provincial de Valencia, en sumario núm. 155/1979 del Juzgado núm. 4 de dicha capital. Por otrosí, solicita de este Tribunal Constitucional la designación de Procurador y Abogado de los de turno de oficio que le represente y defienda en el presente recurso, alegando que ha sido declarado insolvente en el proceso anterior; asimismo solicita, en aplicación del art. 56 de la Ley Orgánica del Tribunal Constitucional (LOTC), la inmediata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enero de 1984, la Sección Primera de la Sala Primera de este Tribunal acuerda tener por recibido el precedente escrito y, a la vista de su contenido, proceder a los nombramientos solicitados dirigiendo a tal efecto sendas comunicaciones al Decano del Colegio de Procuradores de Madrid y al Presidente del Colegio General de la Abogacía; asimismo acuerda pronunciarse sobre la suspensión una vez que decida sobre la admisión o no a trámite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 y Letrado en turno de oficio a doña María Dolores Moreno Gómez y a don Pedro Herranz Manso, respectivamente, la Sección, por providencia de 8 de febrero de 1984,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25 de febrero de 1984, la Procuradora de los Tribunales doña María Dolores Moreno Gómez manifiesta que el Letrado designado de oficio, una vez instruido de las actuaciones del presente recurso, no considera sostenible la pretensión formulada por el recurrente y solicita se le tenga por excusado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marzo de 1984, la Sección, de conformidad con lo dispuesto en el art. 80 de la LOTC, en relación con el art. 45 de la Ley de Enjuiciamiento Civil, acuerda remitir testimonio de los presentes autos al Consejo General de la Abogacía, a fin de que designe dos Letrados que dictaminen si puede o no sostenerse la acción que se propone entablar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11 de abril de 1984, la Procuradora de los Tribunales doña María Dolores Moreno Gómez manifiesta que, a juicio del Letrado designado de oficio, don Ignacio de Uriarte Bofarull, no existe motivo fundado en que basar el recurso de amparo, dado que las Sentencias recurridas son ajustadas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28 de noviembre de 1984, la Sección, al no haber recibido los dictámenes interesados, acuerda reclamar del Consejo General de la Abogacía la urgente remisión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contestación a la providencia anterior, el Consejo General de la Abogacía, por escrito de 6 de diciembre de 1984, manifiesta que el 28 de marzo anterior cursó oficio a los Abogados don Alfonso Urzáiz y Pérez Figueroa y don Ignacio Uriarte Bofarull para que emitieran los oportunos dictámenes y que, no habiéndolo realizado el primero de ellos a pesar de reiterársele la comunicación el día 24 de septiembre, con esta fecha -6 de diciembre de 1984- se procede a reiterarla de nuevo.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 la vista del tiempo transcurrido, la Sección, por providencia de 10 de enero de 1985, acuerda que se libre nueva comunicación al indicado Consejo, a fin de que adopte las medidas que estime necesarias para que a la mayor urgencia posible se verifique la remisión del dictamen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13 de marzo de 1985, la Sección, teniendo en cuenta el estado que mantienen las actuaciones, acuerda, de conformidad con lo establecido en el art. 39 de la Ley de Enjuiciamiento Civil, pasar fotocopia de los antecedentes al Ministerio Fiscal, a fin de que, en el plazo de seis días, con o sin audiencia del interesado, emita dictamen sobre si procede sostener en juicio la pretensión del recurrente, plazo que, a petición del Ministerio Fiscal, se amplía en otros seis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18 de marzo de 1985, el Presidente del Consejo General de la Abogacía remite el dictamen emitido por el Letrado don Alfonso de Urzáiz Pérez Figueroa, el cual manifiesta que la pretensión deducida por el recurrente es insostenible, dado que el Tribunal de instancia se ha apoyado en las pruebas realizadas y de la valoración de las mismas ha deducido la culpabilidad del acusado, por lo que no cabe afirmar que se haya vulnerado la presunción de inocencia; y que, por otra parte, la Sala Segunda del Tribunal Supremo se limitó a tomar en consideración las expresas manifestaciones contenidas en el resultando de hechos probados del Tribunal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en escrito presentado el 22 de abril, manifiesta que «no es sostenible la pretensión que intenta entablar el solicitante de amparo». Alega el Ministerio Fiscal que el mínimo de actividad probatoria necesaria para evitar la violación del principio de presunción de inocencia se desprende del acta del juicio oral, en la que consta que otros procesados declararon en su día con detalle no sólo en la Comisaría, sino también en el Juzgado, lo que junto con la totalidad de la prueba permitió al Tribunal llegar al convencimiento de que el procesado, ahora recurrente, proporcionó las pistolas y munición.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24 de abril de 1985, la Sección decide dejar sin efecto la defensa acordada por pobre del solicitante de amparo y requerir a éste para que dentro del plazo de diez días se persone en el procedimiento, si así le conviene, con Abogado y Procurador a su cargo, plazo que transcurre con exceso sin que el interesado cumplimente dicho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que el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los Abogados designados para dictaminar sobre la cuestión, así como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Vicente Lérida Rodríguez,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