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9 de mayo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2144-2004, interpuesto por el Gobierno de Aragón, representado por el Letrado de la Comunidad Autónoma, contra los arts. 126.1, 2 y 3; 127.3 y 4; 128.2 y 129 de la Ley 62/2003, de 30 de diciembre, de medidas fiscales, administrativas y del orden social. Ha comparecido y formulado alegaciones el Abogado del Estado. Ha sido Ponente el Presidente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4 de febrero de 2004 tuvo entrada en el Registro General de este Tribunal Constitucional, escrito del Letrado de la Comunidad Autónoma de Aragón por el que, en nombre y representación de la misma, interpone recurso de inconstitucionalidad contra los arts. 126.1, 2 y 3; 127.3 y 4; 128.2 y 129 de la Ley 62/2003, de 30 de diciembre, de medidas fiscales, administrativas y del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126, en sus apartados 1, 2 y 3, se considera inconstitucional en cuanto modifica respectivamente los arts. 22.3, 23.4 y 23 ter de la Ley 4/1989, de 27 de marzo, de conservación de los espacios naturales y de la flora y fauna silvestres. El art. 127, apartados 3 y 4 se impugna en cuanto introduce una nueva disposición adicional —cuarta— en el Real Decreto Legislativo 1302/1986, de 28 de junio, de evaluación de impacto ambiental. El art. 128.2 lo es en cuanto a la modificación del art. 27.4, párrafo segundo de la Ley 10/1998, de 21 de abril, de residuos. Y el art. 129 se recurre en su totalidad en lo que afecta a la modificación del texto refundido de la Ley de aguas, aprobado por Real Decreto Legislativo 1/2001,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se formula una objeción de carácter general y de orden material, fundamentada en la existencia de irregularidades en el procedimiento legislativo de aprobación de la Ley 62/2003, que derivarían de su tramitación simultánea y paralela, con la tramitación de la propia Ley 61/2003, de aprobación de los presupuestos generales del Estado para 2004, lo que, a juicio del Letrado autonómico determina la infracción de las reglas relativas al ejercicio de la potestad legislativa como función propia de las Cortes Generales (arts. 66.2, 88 y 89 CE), dado el genérico y variado contenido de la denominada “ley de acompañamiento” y su contenido carente de vinculación con la ejecución de los presupuestos generales del Estado. Determina también la existencia de arbitrariedad y la vulneración del principio de seguridad jurídica (arts. 9.1 y 9.3 CE), al producirse por esta vía la modificación de normas que son cabecera de sector del ordenamiento jurídico administrativo, modificaciones que han sido introducidas, además, en momentos diferentes del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denunciada irregularidad sirve de fundamento a la impugnación del art. 129 de la Ley 62/2003, respecto del cual se afirma que efectúa una amplia modificación del texto refundido de la Ley de aguas, mediante la transposición al ordenamiento jurídico interno de la Directiva 2000/60/CE, de 23 de octubre, del Parlamento Europeo, efectuando una reforma sustantiva de una ley que es cabecera de un sector del ordenamiento jurídico administrativo, en forma no necesaria para la ejecución presupuestaria a la que formalmente debería servir.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fondo del recurso de inconstitucionalidad, en relación con cada uno de los preceptos que son objeto del mismo, son los que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reforma efectuada por el art. 126.1, 2 y 3, en los arts. 22.3, 23.4 y 23 ter de la Ley 4/1989, de conservación de los espacios naturales y de la flora y fauna silvestres (LCEN), está viciada de inconstitucionalidad por vulnerar las competencias de la Comunidad Autónoma en materia de espacios naturales protegidos (art. 35.1.5 del Estatuto de Autonomía de Aragón: EAAr), la de ejecución de la normativa básica estatal en materia medioambiental (art. 37.3 EAAr) y la potestad de autoorganización implícita en el principio de autonomía, según resulta de los arts. 35.1.1 y 42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interposición por la Comunidad Autónoma de anteriores recursos de inconstitucionalidad contra las sucesivas reformas de la Ley 4/1989, y efectuar un examen de la delimitación competencial en materia de medio ambiente, a la luz de lo señalado en la STC 102/1995, de 26 de junio, afirma el Letrado que la redacción dada por el art. 126.1 al art. 22.3 LCEN, mantiene la gestión conjunta de los parques nacionales e incorpora la previsión de financiación de los mismos a través del organismo autónomo Parques Nacionales, mediante las aportaciones que las Comunidades Autónomas realicen, lo que implica una subordinación de éstas a la Administración estatal, a través de la vinculación de la gestión a una entidad de su Administración institucional, que es contraria a las competencias autonómicas exclusivas en materia de espacios naturales, pues no puede negarse a las Comunidades Autónomas la competencia para la financiación directa del parque nacional como presupuesto de la autonomía en la gestión que tienen competencialmente atribuida.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introducida en el art. 23.4 LCEN, en cuanto mantiene la iniciativa de la constitución como propia del Ministerio de Medio Ambiente, adicionando una regla de funcionamiento que fija la exigencia de una determinada mayoría de quórum para la realización de reuniones y para la adopción de acuerdos, deja en manos de la Administración General del Estado la facultad de constituir la comisión mixta, al atribuirle la iniciativa de su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23 ter LCEN articula en sus apartados 2, 3 y 5 una previsión específica en el caso de inexistencia de acuerdo entre las Administraciones públicas que comparten la gestión del parque nacional, remitiendo la designación del director al consejo de la red de parques nacionales, introduciendo una facultad resolutoria de la que carece, lo que vulnera la competencia exclusiva de la Comunidad Autónoma para gestionar el parque nacional que se encuentra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127.3 y 4, introduce una disposición adicional cuarta en el Real Decreto Legislativo 1302/1986, de 28 de junio, de evaluación de impacto ambiental, a la que se conecta la modificación de su disposición final tercera. La modificación introducida identifica la “evaluación” del art. 6.3 del Real Decreto 1997/1995 con la evaluación de impacto ambiental, desapoderando así a la Administración de la Comunidad Autónoma de la potestad propia de control de la biodiversidad efectuada mediante la certificación de la afección del proyecto, que se desplaza a la Administración General del Estado a través de su inclusión en la evaluación de impacto ambiental, que corresponde tramitar, en forma instrumental, al órgano ambiental de la Administración con competencia material para la aprobación o autorización de un proyecto, ignorándose así la competencia exclusiva de la Comunidad Autónoma en materia de espacios naturales. La absorción por el Estado de la “evaluación” de la afección de los proyectos y planes a ejecutar en una zona de especial conservación o en una zona de especial protección para las aves, a través del trámite de evaluación de impacto ambiental, negando que aquella sea una actividad de gestión propia e inherente a dicho espacio natural, contraviene el reparto competencial en la materia, dado que no existe una identidad entre ambas técnicas que permita, como pretende el Estado, absorber en el trámite de evaluación de impacto ambiental, la técnica a aplicar para efectuar el control de la conservación de los hábitats, que se prevé en el art. 6.3 del Real Decreto 1997/1995.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128.2, modifica el párrafo segundo del art. 27.4 de la Ley 10/1998, de residuos, y atribuye ex novo al Consejo de Ministros la competencia para fijar el contenido de la evaluación preliminar, previa a la remisión a la Administración autonómica de los informes periódicos de situación en los que figuren datos relativos a los criterios que sirven de base para la fijación de los suelos contaminados.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representante procesal autonómico que el precepto viene a ampliar la potestad normativa del Consejo de Ministros a quien se atribuye esta competencia, introduciendo una precisión adicional en relación con el informe de situación, que vulnera el reparto competencial en materia de medio ambiente, pues esa fijación de criterios que se atribuye al Consejo de Ministros y que determina el contenido del informe cuya emisión se impone a los propietarios o titulares de los terrenos potencialmente contaminados, constituye un acto de mera gestión que va más allá de lo básico en materia de protección del medio ambiente, y limita la competencia de la Comunidad Autónoma para declarar, delimitar, inventariar y elaborar una lista de prioridades de actuación sobre la base de los datos que considere que deba suministrar el propietario.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lo que respecta a la impugnación dirigida contra el art. 129, el Letrado del Gobierno de Aragón se limita a reiterar los argumentos ya expuestos, en relación con la inadecuación del instrumento normativo de la ley de “acompañamiento” para efectuar la transposición de la Directiva 2000/60/CE, alegando, además, la ausencia del preceptivo dictamen del Consejo de Estado. Se añade, a lo ya señalado, la utilización fraudulenta y contraria al principio de seguridad jurídica, de la ley de medidas, para efectuar, mediante la introducción del concepto de “demarcación hidrográfica”, como unidad de gestión y planificación hidrológica, una modificación sustancial de las disposiciones legales vigentes en materia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mediante providencia de la Sección Cuarta de 27 de abril de 2004, admitió a trámite el recurso de inconstitucionalidad promovido por el Gobierno de Aragón, acordando dar traslado de las actuaciones, conforme establece el art. 34 de la Ley Orgánica del Tribunal Constitucional, al Congreso de los Diputados y al Senado, por conducto de sus Presidentes, y al Gobierno de la Nación a través del Ministerio de Justicia, al objeto de que en el plazo de quince días, pudieran personarse en el proceso y formular las alegaciones que estimaran,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7 de mayo de 2004, se personó el Abogado del Estado y solicitó prórroga del plazo concedido para la presentación del escrito de alegaciones; y por providencia de la Sección Cuarta, de 11 de mayo de 2004, se acordó tenerle por personado y conceder una prórroga de ocho días más al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mediante escrito recibido el 12 de mayo de 2004, comunicó que la Cámara se personaba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Congreso de los Diputados, mediante escrito registrado en este Tribunal el 14 de mayo de 2004, comunicó el acuerdo de la Mesa de la Cámara, de no personarse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21 de mayo de 2004, tuvo entrada en este Tribunal escrito de alegaciones del Abogado del Estado, en el que solicita se tenga por evacuado el trámite conferido y, en su día, se dicte Sentencia desestimatoria del presente recurso en todos sus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representante estatal se refiere, en primer término, a la naturaleza de las leyes de acompañamiento, señalando al respecto que el art. 134 CE sólo impone límites a las leyes de presupuestos, por lo que la denominada ley de acompañamiento, en cuanto ley ordinaria, siempre que haya cumplido el procedimiento establecido en los Reglamentos de las Cámaras puede, en principio, abarcar cualquier materia, pues el legislador goza de libertad para determinar su concreto contenido normativo. Afirma también que, salvo determinados casos que puedan resultar notoriamente graves, las cuestiones de técnica legislativa son ajenas a este Tribunal, dado que no constituyen tachas de inconstitucionalidad, por lo que no le corresponde pronunciarse sobre la perfección técnica de las leyes (SSTC 146/1993, 195/1996 y 273/2000).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alegada vulneración del principio de seguridad jurídica, afirma que éste solo se produce en supuestos en que el contenido o las omisiones del texto normativo produjeran tal confusión y dudas en sus destinatarios que generasen una evidente incertidumbre insuperable acerca de la conducta exigible para su cumplimiento o sobre la previsibilidad de sus efectos (STC 212/1996), lo que no se produce en el supuesto examinado. La técnica legislativa de incorporar normas ajenas al contenido propio de un texto legislativo no es exclusiva de las leyes de acompañamiento, y sólo podría considerarse contraria al principio de seguridad jurídica cuando no exista una justificación suficiente y suponga un cambio legislativo tan severo que afecte al sistema o subsistema en cuyo seno pretendan desarrollar su eficacia y, además, si sus efectos se despliegan en un sector importante del ordenamiento, premisas que no concurren en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impugnación dirigida contra el art. 126.1, 2 y 3, considera el Abogado del Estado que las intervenciones estatales previstas en la nueva redacción dada a los arts. 22.3, 23.4 y 23 ter de la Ley 4/1989, de conservación de los espacios naturales y de la flora y fauna silvestres, están justificadas por el carácter supraautonómico del fenómeno objeto de la competencia, que no hace posible el fraccionamiento de la actividad pública ejercida sobre ella y requiere un alto grado de homogeneidad, lo que hace necesario recurrir a la intervención de un “ente supraordenado de capacidad de intereses contrapuestos de sus componentes parciales”, en los términos del fundamento jurídico 8 de la STC 102/1995, estando garantizada la competencia de las Comunidades Autónomas a través de su intervención en los órganos mixtos de composición paritaria, que tienen atribuida la gestión y administración de cada uno de los parques nacionales y la coordinación del conjunto de la red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el art. 127.3 y 4, señala el representante estatal que las certificaciones que son objeto del precepto impugnado traen causa de la habilitación contenida en el art. 6.3 del Real Decreto 1997/1995, de 7 de diciembre, por el que se establecen medidas para contribuir a garantizar la biodiversidad y mediante el cual se transpone parcialmente a nuestro ordenamiento interno la Directiva 92/43/CEE, del Consejo, de 21 de mayo. El Ministerio de Medio Ambiente ha venido expidiendo dichas certificaciones y declarando en cada caso que el proyecto objeto de evaluación no tendrá efectos negativos apreciables en los lugares incluidos en la red ecológica europea. Dicha declaración se realiza en el ámbito de un procedimiento de solicitud de fondos de cohesión europeos, cuya finalidad inmediata es la obtención de financiación del proyecto y la mediata la realización de la obra, entre cuyas condiciones se encuentra acreditar ante las autoridades comunitarias que el proyecto o la obra son respetuosos con las zonas incluidas en la Red Natura 2000. Tal declaración no supone el ejercicio de competencias ni en materia de medio ambiente ni de espacios naturales protegidos, sino de una competencia a la que están anudados el proyecto u obra pública concretos que se pretende ejecutar por la Administración que la tiene atribuida (STC 13/1998), por lo que la Administración estatal, en estos supuestos, está ejerciendo competencias propias sustantivas y no ejecutando legislación básica sobre medio ambiente o aprobando intervenciones administrativas que tienen como finalidad inmediata la protección del medio ambiente o la gestión del espacio natural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el art. 128.2, considera el Abogado del Estado que la modificación del apartado 4 del art. 27 de la Ley de residuos, relativo a la declaración de suelos contaminados, supone el ejercicio de una competencia normativa y no ejecutiva, pues entra dentro del mínimo normativo que corresponde fijar al Estado en materia de medio ambiente, el contenido de la evaluación, que deberá ser sustancialmente la misma en todo el territorio nacional. El texto impugnado no impide que las Comunidades Autónomas, sin perjuicio de que sean oídas, puedan ampliar, mejorar y desarrollar aquél, siempre que respeten el mínimo común establecido por el Consejo de Ministros y justificado por la necesidad del tratamiento homogéneo de los datos de la evaluación a nivel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Considera el representante estatal que, las alegaciones relativas al art. 129, se ciñen a la adecuación del instrumento de la denominada ley de acompañamiento para transponer a nuestro ordenamiento la Directiva 2000/60/CEE, por la que se establece un marco comunitario de actuación en la política de aguas, por lo que se remite a las alegaciones ya realizadas, afirmando que las modificaciones realizadas al Real Decreto Legislativo 1/2002, de 20 de julio, son singularizadas y no suponen un cambio sistemático ni total de una ley de cabecera en un sector del ordenamiento jurídico como es la regulación de las aguas continentales, pues la única innovación esencial es el primer apartado, que establece el concepto de “demarcación hidrográfica”, que está solamente referida a la determinación de las demarcaciones hidrográficas en tanto que unidades de gestión de las cuencas de competencia estatal y de los organismos estatales de cuenca, es decir, cuando la cuenca propiamente dicha excede del ámbito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mayo de 2013 se acordó señalar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Gobierno de Aragón frente a diversos preceptos de la Ley 62/2003, de 30 de diciembre, de medidas fiscales, administrativas y del orden social. En concreto, se impugnan: el arts. 126 en sus apartados 1, 2 y 3, en cuanto modifica respectivamente los arts. 22.3, 23.4 y 23 ter de la Ley 4/1989, de 27 de marzo, de conservación de los espacios naturales y de la flora y fauna silvestres; el art. 127.3 y 4, que introduce una nueva disposición adicional —cuarta— en el Real Decreto Legislativo 1302/1986, de 28 de junio, de evaluación de impacto ambiental; el art. 128.2, en cuanto a la modificación del art. 27.4, párrafo segundo de la Ley 10/1998, de 21 de abril, de residuos; y el art. 129 se recurre en su totalidad en lo que afecta a la modificación del texto refundido de la Ley de aguas, aprobado por Real Decreto Legislativo 1/2001,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Comunidad Autónoma que la nueva redacción dada por el art. 126 de la Ley 62/2003, a los arts. 22.3, 23.4, y 23 ter de la Ley 4/1989, de 27 de marzo, de conservación de los espacios naturales y de la flora y fauna silvestres, vulnera las competencias que corresponden a la misma en materia de medio ambiente y de espacios naturales, ex art. 149.1.23 CE y arts. 37.3 y 35.15 del Estatuto de Autonomía de Aragón (EAAr), así como la potestad de autoorganización que resulta de lo dispuesto en los arts. 35.1.1 y 42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127.3 y 4 ignora la competencia autonómica exclusiva en materia de espacios naturales (art. 35.15 EAAr), y el art. 128 excede de las competencias básicas del Estado en materia de medio ambiente (art. 149.1.23 CE) e infringe las que corresponden a la Comunidad Autónoma en materia de gestión medioambiental. La impugnación dirigida contra el art. 129 se fundamenta en la inadecuación del instrumento normativo de la ley de “acompañamiento” para efectuar la transposición de la Directiva 2000/60/CE, lo que determina la infracción de las reglas constitucionales relativas al ejercicio de la potestad legislativa (arts. 66.2, 88 y 89 CE) y da lugar a la existencia de arbitrariedad y a la vulneración del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por el contrario, la constitucionalidad de los preceptos impugnados, rechazando, por los motivos que se resumen en los antecedentes de esta Sentencia, la vulneración de los títulos competenciales alegados por el Letrado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expuestas sintéticamente las posiciones de las partes que se enfrentan en este recurso, resulta conveniente realizar algunas precisiones de orden procesal, antes de proceder al examen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es preciso señalar que, con posterioridad a la interposición del presente recurso, se ha producido la reforma del Estatuto de Autonomía de Aragón llevada a cabo por la Ley Orgánica 5/2007, de 20 de abril, norma estatutaria que constituye parámetro de control del presente conflicto, en aplicación de nuestra doctrina sobre el ius superveniens, conforme a la cual “el control de las normas que incurren en un posible exceso competencial debe hacerse de acuerdo a las normas del bloque de la constitucionalidad vigentes al momento de dictar Sentencia” (STC 1/2011, de 14 de febrero, FJ 2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durante la pendencia de este proceso han tenido lugar también modificaciones normativas que afectan a las cuestiones que debemos resolver aquí. Puesto que del examen de la demanda se deduce con claridad que nos encontramos ante un recurso de inconstitucionalidad de carácter fundamentalmente competencial, la cuestión ha de ser examinada a la luz de lo que este Tribunal ha afirmado reiteradamente, en el sentido de que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jurídico, cuanto determinar si con esa expulsión ha cesado o no la controversia competencial, toda vez que poner fin a la misma a la luz del orden constitucional de reparto de competencias es el fin último al que sirven tales procesos” [por todas, STC 149/2012, de 5 de junio, FJ 2 b)]; de modo que si la normativa en torno a la cual se trabó el conflicto resulta parcialmente modificada por otra que viene a plantear los mismos problemas competenciales la consecuencia será la no desaparición del objeto del conflicto (por todas, STC 133/2012, de 19 de junio, FJ 2). En aplicación de estos criterios, será preciso, por tanto, analizar si las modificaciones operadas en las normas recurridas han producido o no la pérdida de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impugnación dirigida contra el art. 126.1, 2 y 3, en cuanto afecta a los arts. 22.3, 23.4 y 23 ter de la Ley 4/1989, de 27 de marzo, de conservación de los espacios naturales y de la flora y fauna silvestres, se fundamenta por la Comunidad Autónoma en que el modelo de cogestión y financiación previsto para los parques nacionales en los mencionados preceptos, vulnera sus competencias exclusivas en materia de espacios naturales protegidos (art. 71.21 EAAr) y las de desarrollo legislativo y ejecución de la legislación básica estatal en materia de protección del medio ambiente (art. 75.3 EAAr). El art. 126 de la Ley 62/2003 fue objeto de pronunciamiento expreso en la Sentencia 149/2012, de 5 de julio, que examinó dicho precepto en su totalidad, por lo que procede reiterar ahora los aspectos sustanciales de lo allí expuesto, remitiéndonos en lo restante a la detallada argumentación que se efectúa en su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4/1989, de 27 de marzo, de conservación de los espacios naturales y de la flora y fauna silvestres ha sido completamente derogada por la Ley 42/2007, de 13 de diciembre, del patrimonio natural y la biodiversidad, pero, además, los arts. 22.3, 23.4 y 23 ter de la Ley 4/1989, objeto del presente recurso, ya fueron derogados, incluso antes, por la Ley 5/2007, de 3 de abril, de la red de parques nacionales. Por este motivo, como señalamos en la STC 149/2012, de 5 de julio, FJ 2, la impugnación “se basaba en la inconstitucionalidad del modelo de cogestión de los parques nacionales y, por tanto, de la regulación de la comisión mixta, de la figura del director-conservador y del sistema previsto de financiación que estaba estrechamente vinculado a la idea de gestión mixta. Desaparecidas estas regulaciones de la legislación estatal (Ley 5/2007, de la red de parques nacionales y Ley 42/2007, del patrimonio natural y de la biodiversidad) es manifiesto que ha desaparecido la controversia competencial a la que daba lugar y que, por tanto, ha desaparecido también el objeto de esta parte del presente recurso”, concluyendo más adelante en el mismo fundamento jurídico que “la impugnación del art. 126 de la Ley 62/2003 ha perdido su objeto, resultando improcedente un pronunciamiento al respecto por parte de este Tribunal, que sólo está llamado a dirimir controversias competenciales en la medida en que estén aún vivas (por todas, STC 18/2011, FJ 3), lo que no sucede en el caso de los preceptos señalados tras la derogación de los mismos y su sustitución por una nueva regulación acorde con la pretensión autonómica”. No procede pues, sino hacer extensivos los argumentos señalados al presente supuesto y, en consecuencia, declarar producida la desaparición del objeto del recurso en relación con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127.3 y 4 viene a añadir una nueva disposición adicional cuarta al Real Decreto Legislativo 1302/1986, de 28 de junio, de evaluación de impacto ambiental, relativa a la “evaluación ambiental de los planes y proyectos estatales previstos en el art. 6 del Real Decreto 1997/1995, de 7 de diciembre”, a la que se conecta la modificación de su disposición final tercera. El art. 127 fue asimismo objeto de examen en STC 149/2012, de 5 de julio, FJ 2, en la que, tras poner de manifiesto que el Real Decreto Legislativo 1302/1986, de 28 de junio ha sido derogado por la disposición derogatoria única a) del Real Decreto Legislativo 1/2008, de 11 de enero, venía a señalar no obstante que “la vigente disposición adicional cuarta del Real Decreto Legislativo 1/2008 sigue atribuyendo a la Administración del Estado la competencia para la realización de la evaluación de los proyectos que puedan afectar de forma apreciable a las zonas de la Red Natura 2000, así como la determinación de las medidas compensatorias que puedan ser necesarias, en relación con los proyectos que deban ser autorizados o aprobados por la propia Administración del Estado, aspecto éste que el Consejo de Gobierno de la Comunidad Autónoma de Andalucía considera contrario al orden constitucional de competencias por invadir las competencias que le corresponden en materia de espacios naturales protegidos y de gestión de la protección medioambiental. El nuevo precepto sigue, por tanto, suscitando la misma controversia, sin que la modificación de la norma recurrida haya producido, en este caso, la pérdida de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anterior planteamiento resulta trasladable en sus propios términos al presente recurso de inconstitucionalidad, dada la coincidencia argumental existente entre aquella impugnación y la que ahora se examina, por lo que la modificación de la norma recurrida no ha producido, en este caso, la pérdida de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Hemos de plantearnos asimismo la pervivencia del recurso en lo que respecta al art. 128.2, que modifica el párrafo segundo del apartado 4 del art. 27 de la Ley 10/1998, de residuos. El mencionado precepto de la Ley 10/1998 venía a establecer que los titulares de actividades potencialmente contaminantes del suelo debían remitir periódicamente a la Comunidad Autónoma correspondiente informes de situación en los que figuren los datos relativos a los criterios que sirvan de base para la declaración de suelos contaminados. La modificación efectuada por la Ley 62/2003 en el citado precepto, viene a disponer que la remisión de los citados informes de situación, se realice por los titulares de actividades potencialmente contaminantes, “tras una evaluación preliminar, cuyo contenido será fijado por el Consejo de Ministros, previa consulta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10/1998 fue derogada en su totalidad por la disposición derogatoria única, apartado 1, de la Ley 22/2011, de 28 de julio, de residuos y suelos contaminados, pero, como hemos tenido ocasión de señalar en la reciente STC 104/2013, de 25 de abril, FJ 2, “conviene advertir que el mencionado art. 27 de la Ley 10/1998 fue completado y desarrollado por el Real Decreto 9/2005, de 14 de enero, por el que se establece la relación de actividades potencialmente contaminantes del suelo y los criterios y estándares para la declaración de suelos contaminados, norma que no ha resultado afectada por lo dispuesto en la Ley 22/2011. El art. 3 del Real Decreto contempla en sus apartados 1 a 3 los denominados ‘informes preliminares’ de situación (que integran la denominada evaluación preliminar); en los apartados 1 y 2 se determinan las actividades que dan lugar a la remisión por sus titulares del informe preliminar y se fija el alcance y contenido mínimo de éste, así como la obligación de remisión de dicho informe a la Comunidad Autónoma. En el apartado 3 se faculta a la Comunidad Autónoma para recabar informes complementarios, datos o análisis añadidos que, en todo caso, deberán realizarse de acuerdo con los criterios y estándares establecidos en el Real Decreto. Ello implica que, pese a la derogación del art. 27 de la Ley 10/1998, manteniéndose vigente la denominada ‘evaluación’ o ‘informe’ preliminar regulada en el mismo, debe considerarse subsistente la disputa competencial, lo que determina que el recurso no haya perdido objeto en este punto”. También en este supuesto, por tanto, hemos de concluir que no se ha producido la desaparición de la controversia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podemos concluir que pervive el objeto del recurso en lo que respecta a los arts. 127.3 y 4, 128.2 y 129, sobre los que ha de recaer el presente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delimitado el objeto del recurso en los términos expuestos, hemos de comenzar nuestro examen por lo dispuesto en el art. 127.3 y 4, en cuanto añade una disposición adicional cuarta al Real Decreto Legislativo 1302/1986, de 28 de junio, de evaluación de impacto ambiental, relativa a la “evaluación ambiental de los planes y proyectos estatales previstos en el art. 6 del Real Decreto 1997/1995, de 7 de diciembre”, a la que se conecta la modificación de su disposición adicional tercera. Considera al respecto la Comunidad Autónoma que el Estado carece de título competencial suficiente para negar a la Comunidad Autónoma —mediante la práctica de la evaluación prevista en el art. 6.3 del Real Decreto 1997/1995— el ejercicio de su potestad de control de la afección al hábitat de los proyectos a ejecutar en las zonas de especial conservación y en las zonas especial protección para las aves, como espacios protegidos de titularidad autonómica (art. 21.21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aquí planteada ha sido resuelta por este Tribunal en la mencionada STC 104/2013, de 25 de abril que, en su fundamento jurídico 7, se remite a su vez a las SSTC 149/2012, de 5 de julio, FJ 3, y 59/2013, de 13 de marzo, FJ 3, pronunciándose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primera de las citadas [STC 149/2012], tras analizar la regulación impugnada y su contexto normativo, concluimos, en relación con la denunciada vulneración de las competencias autonómicas sobre medio ambiente,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evaluación ambiental de las zonas especiales de conservación es una técnica muy similar a la evaluación de impacto ambiental, pues al igual que ésta tiene por finalidad que las Administraciones públicas valoren la afección al medio ambiente —aunque en este caso, la valoración se limite a la afección a un elemento específico del medio ambiente— cuando hayan de decidir acerca de la autorización o aprobación de un plan o proyecto que puedan afectar de forma apreciable a espacios de la Red Natura 2000. Es decir, se trata de un informe sectorial que determina la conveniencia o no de realizar determinadas obras o actividades desde la perspectiva de sus repercusiones sobre este tipo de espacios. Obras y actividades que —como hemos dicho en relación con la evaluación de impacto ambiental— están sometidas por la Constitución y los Estatutos de Autonomía a sus propios títulos competenciales. Títulos competenciales que atraen al medioambiental (STC 13/1998, FJ 8) y, por tanto, también a la evaluación ambiental de los planes y proyectos que puedan afectar de forma apreciable a espacios de la Red Natura. Es, por tanto, acorde con la distribución constitucional de competencias que la legislación atribuya a la Administración del Estado la realización de la evaluación ambiental de las zonas especiales de conservación en aquellos casos en los que el plan o proyecto debe ser autorizado o aprobado por ella tras la realización de la correspondiente evaluación de impacto ambiental integrándose, en estos casos, dada su naturaleza sectorial, la evaluación ambiental de la zona especial de conservación —como técnica específica de evaluación— en la más general de la evaluación de impacto ambiental, garantizándose, en todo caso, la consulta —por la vía del informe preceptivo— a las Comunidades Autónomas en cuyo territorio se ubique el proyecto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el art. 127 de la Ley 62/2003 en cuanto añade una disposición adicional cuarta al Real Decreto Legislativo 1302/1986, de 28 de junio, de evaluación de impacto ambiental, no se reputa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Doctrina que debemos reiterar aquí y que conduce a la desestimación del recurso en lo que respecta a la denunciada vulneración de las competencias autonómicas de gestión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doctrina, ‘según la cual el elemento determinante del encuadre competencial de este tipo de certificación es su vínculo finalista con la decisión de realizar o no la obra o actividad cuyas consecuencias se evalúan (se trata de un informe sectorial que determina la conveniencia o no de realizar determinadas obras o actividades desde la perspectiva de sus repercusiones sobre este tipo de espacios), es igualmente decisiva cuando el conflicto se traba entre la competencia sustantiva estatal que da cobertura a la obra o actividad y la competencia autonómica exclusiva sobre espacios naturales protegidos, procediendo, por tanto, que declaremos que esta clase específica de evaluación ambiental es una materia que se incardina en el primer título y no en el segundo’ (STC 59/2013, de 13 de marzo, FJ 3). Así la evaluación de la repercusión que para un lugar concreto conlleva una obra o actividad, cuando está orientada a facilitar al órgano competente sobre ella la información ambiental específica para decidir si se realiza o no y, en su caso, en qué condiciones se hace, se sitúa extramuros de las competencias autonómicas sobre espacios naturales protegidos, pues, como señalamos en la misma sentencia y fundamento jurídico, ‘la evaluación de la repercusión que para un lugar concreto conlleva una obra o actividad cuando está orientada a facilitar al órgano competente sobre ella la información ambiental específica para decidir si se realiza o no y, en su caso, en qué condiciones se hace, pues una evaluación así configurada tiene una finalidad estrechamente vinculada con la obra o actividad de que se trate, cual es que todos los entes públicos valoren el medio ambiente, en este caso un elemento específico del medio ambiente, cuando ejercen sus atribuciones sobre cualquiera de las obras, instalaciones u otras actividades de su competencia, valoración ambiental que, como no podía ser de otra manera, debe tener en cuenta los objetivos de conservación del lugar de que se trate, como expresamente constata tanto el art. 6.3 del Real Decreto 1997/1995 como el apartado 1 de la disposición adicional cuarta del Real Decreto Legislativo 1/2008’.”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la impugnación del art. 127 de la Ley 62/2003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128.2 modifica el párrafo segundo del art. 27 de la Ley 10/1998, de residuos; este último precepto venía a establecer que los titulares de actividades potencialmente contaminantes del suelo debían remitir periódicamente a la Comunidad Autónoma correspondiente informes de situación en los que figuren los datos relativos a los criterios que sirvan de base para la declaración de suelos contaminados. La modificación efectuada por la Ley 62/2003 viene a disponer que la remisión de los citados informes de situación se realice por los titulares de actividades potencialmente contaminantes, “tras una evaluación preliminar, cuyo contenido será fijado por el Consejo de Ministros, previa consulta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Comunidad Autónoma recurrente que la introducción de ese trámite previo de “evaluación preliminar” supone una ampliación de la potestad normativa del Consejo de Ministros, que vulnera el reparto competencial en materia de medio ambiente, en cuanto condiciona y determina el contenido del informe de situación, y constituye un acto de mera gestión que limita la competencia de la Comunidad Autónoma para declarar, delimitar, inventariar y elaborar la lista de prioridades de actuación, sobre la base de los datos que considere que deba suministrar el propietario.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afirma, por el contrario, que la modificación introducida se inserta en el mínimo normativo que corresponde fijar al Estado en materia de medio ambiente, garantizando que el contenido de esa evaluación sea sustancialmente el mismo en todo el territorio, lo que no se impide a las Comunidades Autónomas, además de ser oídas, la posibilidad de ampliar, mejorar y desarrollar ese contenido, siempre que respeten el mínimo común establecido por el Gobierno, y justificado en la necesidad de un tratamiento homogéneo de los datos a nivel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controvertida se centra, pues, en determinar si la modificación que se efectúa en el art. 27.4 de la Ley de residuos, en cuanto impone a los titulares de actividades potencialmente contaminantes del suelo, el deber de realizar una evaluación o informe preliminar, y habilita al Consejo de Ministros para fijar el contenido de la misma, forma o no parte de la competencia exclusiva del Estado para dictar la legislación básica en materia de medio ambiente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cuestión ha sido también resuelta en STC 104/2013, de 25 de abril, FJ 8, en la que se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una perspectiva formal, no cabe dudar que el precepto, en cuanto se limita a incorporar una requisito adicional al informe de situación contemplado en el art. 27.4 de la Ley 10/1998, de Residuos, participa de la cobertura competencial determinada en la disposición final segunda de esta ley, en la que se proclama su carácter de legislación básica, dictada al amparo de lo dispuesto en el art. 149.1.23 CE. Desde una perspectiva material, el precepto tiene también carácter básico, pues se ajusta a lo reiteradamente señalado por nuestra doctrina de que lo básico, como propio de la competencia estatal en esta materia, cumple más bien una función de ordenación mediante mínimos que han de respetarse en todo caso, pero que pueden permitir que las Comunidades Autónomas con competencias en la materia establezcan niveles de protección más altos, pero nunca reducirlos (SSTC 170/1989, FJ 2, 196/1996/, FJ 2, 101/2005 FJ 5 y 7/2012,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149.1.23 CE permite al legislador estatal dictar normas de obligada aplicación que aseguren un mínimo de protección de los elementos naturales, y a este objetivo responde el precepto controvertido, que se limita a establecer un deber de carácter general, que recae sobre los titulares de actividades contaminantes, de efectuar una evaluación o informe preliminar, con un objetivo preventivo de los posibles efectos perjudiciales o nocivos que estas actividades son susceptibles de producir en el suelo; objetivo que constituye materia propia e intrínseca del ámbito material medio ambiental y, por tanto, de la competencia estatal básica que el citado precepto constitucional atribuye al Estado, por lo que la medida que se establece constituye una previsión normativa que tiene por finalidad la preservación de intereses públicos medioambientales, y, en consecuencia, no puede reputarse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que haya de constituir el contenido propio de esa evaluación preliminar, el precepto que se examina se limita a señalar que el mismo será fijado por el Consejo de Ministros, previa consulta a las Comunidades Autónomas; se remite, por tanto, a una posterior norma reglamentaria la determinación concreta del contenido mínimo de la evaluación preliminar, remisión que resulta justificada en atención a la especificidad de la materia y al carácter marcadamente técnico de los concretos aspectos o cuestiones a regular, cuya valoración no es posible efectuar en este momento sino a la vista de la forma en la que dicha habilitación reglamentaria se concrete. Resulta entonces que nos hallamos ante una impugnación preventiva, vedada en nuestra doctrina, sin que, de otro lado, nada impida que, si el Gobierno, al dictar las correspondientes normas reglamentarias en virtud de esa remisión, extendiera su regulación a aspectos no básicos pudiera plantearse el oportuno conflicto positivo de competencias a fin de examinar si se hubiera producido o no la extralimitación en el ámbito competencial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la impugnación formulada contra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129 de la Ley 62/2003, modifica el texto refundido de la Ley de aguas, aprobado por Real Decreto Legislativo 1/2001, de 20 de julio, con la finalidad de incorporar al derecho interno la Directiva comunitaria 2000/60/CE, por la que se establece el marco comunitario de actuación en el ámbito de la política de aguas. La impugnación formulada por la Comunidad Autónoma de Aragón se sustenta en la inadecuación del instrumento de la “ley de acompañamiento” para efectuar la transposición de la Directiva e introducir modificaciones sustanciales de las disposiciones legales vigentes en materia de aguas, mediante un procedimiento legislativo ad hoc que se aparta del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 alega que las especialidades derivadas de la tramitación simultánea y paralela de la Ley 62/2003 con la Ley 61/2003, de presupuestos generales del Estado para 2004, determinarían un irregular ejercicio de la potestad legislativa contraria a lo dispuesto en los arts. 66.2, 88 y 89 CE; el contenido heterogéneo de la Ley recurrida y su falta de conexión con la ejecución de los presupuestos generales del Estado, determinaría la vulneración del principio de interdicción de arbitrariedad y del principio de seguridad jurídica (arts. 9.1 y 9.3 CE); y la ausencia de un control de relevancia constitucional, al haberse omitido el trámite de informe del Consejo de Estado, por haberse introducido el precepto a través de una enmienda formulada en el Senado, daría lugar asimismo a una vulneración del procedimiento legislativo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anteriores cuestiones se ha pronunciado este Tribunal de forma detallada, en la STC 36/2013, de 14 de febrero, dictada en el recurso de inconstitucionalidad 2123-2004, planteado por la Comunidad Autónoma de Castilla-La Mancha contra la Ley 62/2003, por lo que, dada la coincidencia argumental entre ambos planteamientos, resulta imprescindible la remisión a lo señalado en ese pronunciamiento, para desestimar la impugnación relativa al art. 129 de la Ley 62/2003.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relativa a la supuesta inadecuación de la llamada ley de acompañamiento para la transposición de la Directiva comunitaria, fue expresamente rechazada en el fundamento jurídico 2 de la STC 36/2013, “pues no existe ningún mandato legal que exija que una Directiva comunitaria deba ser traspuesta a través de un determinado instrumento normativo. La ley de ‘acompañamiento’ es una ley ordinaria y como tal ley ordinaria que emana de las Cortes Generales ‘puede entrar a regular cualquier materia no expresamente asignada a otro tipo legislativo, y es que, del bloque de la constitucionalidad no se deriva ni impedimento alguno para que se puedan aprobar lo que califica como leyes transversales, ni exigencia de ninguna clase que imponga que cada materia deba ser objeto de un proyecto independiente, dado que las formas de manifestarse la voluntad de las Cámaras sólo tendrán un carácter limitado cuando así se derive del propio texto constitucional. En consecuencia, ningún óbice existe desde el punto de vista constitucional que impida o limite la incorporación a un solo texto legislativo, para su tramitación conjunta en un solo procedimiento, de multitud de medidas normativas de carácter heterogéneo’ (STC 136/2011, de 30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técnica legislativa de las llamadas “leyes de acompañamiento”, afirmamos en la STC 136/2011, de 13 de septiembre, FJ 9, que “el juicio de constitucionalidad no lo es de técnica legislativa, razón por la cual, no corresponde a la jurisdicción constitucional pronunciarse sobre la perfección técnica de las leyes, habida cuenta de que el control jurisdiccional de la ley nada tiene que ver con su depuración técnica”. y, reiteramos en la STC 36/2013, FJ 2, que “la inobservancia ‘de los preceptos que regulan el procedimiento legislativo podría viciar de inconstitucionalidad la ley, cuando esa inobservancia altere de modo sustancial el proceso de formación de la voluntad en el seno de las Cámaras’ … No basta en consecuencia, ‘cualquier vicio o inobservancia de los previstos en las normas que regulan el procedimiento parlamentario para declarar la eventual inconstitucionalidad de la norma o disposición con que se pone fin al mismo’, pues ‘tal inconstitucionalidad sólo se producirá si el vicio o inobservancia denunciada afecta esencialmente al proceso de formación de la voluntad de los parlamentarios, de modo que sólo los vicios o defectos más graves provocan un déficit democrático en el proceso de elaboración de una norma, que podría conducir a su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hecho de que el proyecto de ley se tramite en la Comisión de Economía y Hacienda del Congreso, y en la de Economía y Turismo del Senado, y no en la competente por razón de cada materia, no da lugar a la inconstitucionalidad de la ley, pues como se afirma en el fundamento jurídico 2 de la STC 36/2013, de 14 de febrero, “hemos señalado en la STC 102/2012, de 8 de mayo, FJ 3, ‘que estamos en presencia de un acto de trámite (la atribución a una comisión del conocimiento de un proyecto de ley), inserto en un procedimiento parlamentario cuya eventual inobservancia sólo podría alcanzar relevancia constitucional y, por tanto, viciar de inconstitucionalidad la ley resultante cuando … esa inobservancia altere de modo sustancial el proceso de formación de voluntad de una Cámara … Pero es que, en segundo lugar, la decisión de atribuir el conocimiento de un proyecto a una u otra comisión es una función de la Mesa del Congreso de los Diputados (arts. 43.1 y 109 del Reglamento del Congreso de los Diputados) o del Senado (arts. 54 y 104.2 del Reglamento del Senado) de manera que, cuando por razón de la materia del proyecto, proposición o asunto pueda corresponder, en principio a varias comisiones, se encomendará a aquella ´que sea de la competencia principal de una comisión’ (así se deduce del art. 43.2 del Reglamento del Congreso de los Diputados). Se trata, pues, de una decisión de mera oportunidad parlamentaria que, en sí mismo, no conlleva merma alguna de los principios constitucionales que han de informar el procedimiento legislativo en cuanto procedimiento de formación de la voluntad del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supuesta quiebra del principio de seguridad jurídica (art. 9.3 CE), justificada en que la acumulación de preceptos heterogéneos hace imposible a los ciudadanos un adecuado conocimiento del contenido de la Ley, la STC 36/2013, FJ 2, se remite a lo ya señalado en la STC 136/2011, FJ 9, “en la que concluimos que no cabe apreciar en ello ningún vicio susceptible de afectar a la seguridad jurídica conforme al contenido constitucionalmente garantizado de dicho principio, pues tales leyes de acompañamiento tienen un objeto que, aunque heterogéneo, está perfectamente delimitado en el momento de presentación del proyecto al Congreso de los Diputados, teniendo todos sus eventuales destinatarios (operadores jurídicos y ciudadanos) conocimiento del mismo mediante su publicación en el ‘Diario Oficial de las Cortes Generales’, como finalmente tienen conocimiento del texto definitivo mediante su inserción en el ‘Boletín Oficial del Estado’ (en el mismo sentido STC 120/2012, de 4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afecta a la vulneración de la prohibición de arbitrariedad (art. 9.3 CE), debe insistirse una vez más en que el control de constitucionalidad de las leyes debe ejercerse por este Tribunal de forma que no se impongan constricciones indebidas al poder legislativo y se respeten sus legítimas opciones políticas; por ello, hemos venido señalando reiteradamente que el cuidado que este Tribunal ha de observar para mantenerse dentro de los límites del control del legislador democrático, debe extremarse cuando se trata de aplicar preceptos generales e indeterminados como es el de interdicción de arbitrariedad. Así, al examinar una norma legal desde este punto de vista, nuestro análisis ha de centrarse en verificar si el precepto establece una discriminación, pues la discriminación entraña siempre una arbitrariedad, o bien si, no estableciéndola, carece de toda explicación racional, lo que también evidentemente supondría una arbitrariedad (por todas, STC 102/2012, de 8 de mayo, FJ 2). No se aprecia, en el supuesto examinado, que la ley recurrida establezca discriminación de ningún tipo; la norma persigue una finalidad razonable y no se muestra desprovista de fundamento, aunque pueda legítimamente discreparse de la concreta solución adoptada, pues “entrar en un enjuiciamiento de cuál sería su medida justa, supone discutir la opción tomada por el legislador, que, aun cuando pueda ser discutible, no resulta arbitraria ni irracional” (STC 149/2006, de 11 de mayo, FJ 6). A ello cabe añadir que, en el supuesto que se examina, la alegación de arbitrariedad no deja de ser una imputación genérica que no se especifica en preceptos concretos, ni se identifica dónde está el trato desigual, sino que únicamente se vincula a ese contenido heterogéneo de la Ley 62/2003, por lo que debe rechazarse también esta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asimismo la Comunidad Autónoma recurrente, que el hecho de que este precepto haya sido introducido en virtud de una enmienda presentada en el Senado ha determinado la ausencia de un control de relevancia jurídico constitucional, al no acompañarse el dictamen del Consejo de Estado, pese a exigirlo la finalidad y contenido del texto legislativo aprobado, alegación que también debe ser rechazada, pues “ni la Constitución ni los Reglamentos parlamentarios, ni la Ley Orgánica del Consejo de Estado, prevén la necesidad de dictamen de este órgano consultivo en el trámite de enmiendas, por lo que no cabe admitir que se entienda contraria al bloque de constitucionalidad una enmienda que ha previsto la transposición de una Directiva comunitaria sin el citado dictamen, siguiendo el procedimiento legislativo legalmente previsto” (STC 36/2013,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autonómica no formula objeciones de fondo al contenido concreto de la regulación que efectúa el art. 129 de la Ley 62/2003, pues, aunque se hace mención en el texto de la demanda a la introducción de un nuevo concepto, el de “demarcación hidrográfica”, como unidad de gestión y planificación hidrológica, la Comunidad Autónoma se limita a argumentar que supone un modificación sustancial del texto refundido de la Ley de aguas, que se lleva a cabo mediante un procedimiento legislativo ad hoc, que se aparta del general, por lo que, dado que se limita a reiterar los argumentos ya examinados, procede en este punto remitirse a lo expuesto con anterioridad.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extinguido, por desaparición sobrevenida de su objeto, el recurso formulado en relación con el art. 126.1, 2 y 3 de la Ley 62/2003, de 30 de diciembre, de medidas fiscales, administrativas y del orden social, en cuanto a la redacción dada a los arts. 22.3, 23.4 y 23 ter de la Ley 4/1989, de 27 de marzo, de conservación de los espacios naturales y de la flora y fauna silvestres.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