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117</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6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7 de octubre de 2014, el Procurador de los Tribunales don Alberto Collado Martín, en nombre y representación del Ayuntamiento de Toledo, presentó en el Registro General de este Tribunal demanda de amparo contra el Auto de la Sección Quinta de la Sala Tercera del Tribunal Supremo de 15 de julio de 2014, que desestimó el incidente de nulidad interpuesto contra la Sentencia de la misma Sección de 27 de febrero de 2014, que a su vez desestimó el recurso de casación interpuesto contra la Sentencia de la Sección Primera de la Sala de lo Contencioso-Administrativo del Tribunal Superior de Justicia de Castilla-La Mancha de 26 de julio de 2011, que estimó el recurso formulado frente a la orden de la Consejería de Vivienda y Urbanismo de 26 de marzo de 2007, por el que se aprobaba el plan de ordenación municipal de Toledo.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en su demanda de amparo que las resoluciones mencionadas han vulnerado su derecho fundamental a la tutela judicial efectiva y a un proceso con todas las garantías (arts. 24.1 y 24.2 CE), al incurrir en exceso de jurisdicción por inaplicación de las leyes autonómicas vigentes en materia de urbanismo sin el previo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25 de mayo de 2015, la Sala Primera de este Tribunal acordó admitir a trámite la demanda de amparo y ordenar que se formase la presente pieza separada de suspensión, concediendo a la demandante de amparo y al Ministerio Fiscal, conforme a lo dispuesto en el art. 56 de la Ley Orgánica del Tribunal Constitucional (LOTC),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que tuvo entrada en este Tribunal el 2 de junio de 2015, el demandante de amparo solicitó que se acordara la suspensión interesada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demandante que la ejecución de la Sentencia causaría un perjuicio irreparable que haría perder al amparo su finalidad. Afirma que la Sección Primera de la Sala de lo Contencioso-Administrativo de Castilla-La Mancha en el Auto de 18 de marzo de 2015, ha resuelto que hasta que el Tribunal Constitucional se pronuncie procede mantener la suspensión de la ejecución al considerar que “el Plan General de Toledo, su vigencia y aplicación, como tal representa un interés público, económico, social y de terceros”. Argumenta que el incumplimiento del deber de plantear una cuestión de inconstitucionalidad no puede ser recompensado otorgando mayor eficacia a la sentencia incumplidora que al precepto legal desplazado, sin que la suspensión ocasione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idéntico trámite mediante escrito registrado en este Tribunal con fecha de 10 de junio de 2015, en el que se oponía a la suspensión solicitada debido a que conforme al art. 56.1 LOTC la interposición del recurso de amparo no suspenderá los efectos del acto o sentencia impugnados, salvo cuando la ejecución del acto o sentencia impugnados produzca un perjuicio al recurrente que pudiera hacer perder al amparo su finalidad, siempre y cuando dicha suspensión no ocasione perturbación grave a un interés constitucionalmente protegido, ni a los derechos fundamentales o libertades de otra persona (art. 56.2 LOTC). Siendo la regla general la improcedencia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el Ministerio Fiscal que es necesario para acordar la suspensión que se cumpla el requisito de que, si ésta no se acordara, la eventual estimación del recurso de amparo sería ya “tardía” y el restablecimiento en el derecho constitucional vulnerado ya no podría ser efectivo sino “meramente ilusorio y nominal”, debiendo además ponderarse el perjuicio que se causa al recurrente como consecuencia de la eficacia de la resolución recurrida y, por otra, el perjuicio, en términos de perturbación grave, a un interés constitucionalmente protegido o a los derechos fundamentales y libertades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a la doctrina del Tribunal Constitucional, según la cual, no procede la suspensión de las resoluciones judiciales con efectos meramente patrimoniales o económicos, al no derivarse de los mismos perjuicios irreparables (ATC 254/2009 de 28 octubre), salvo que el recurrente justificase cumplidamente que el no otorgamiento de la suspensión le ocasionaría un perjuicio irreparable que haría perder al amparo su finalidad. Con cita de la doctrina del Tribunal Constitucional afirma que procederá la suspensión cuando la ejecución comporte perjuicios económicos difícilmente reparables por su entidad o por la irreversibilidad de las situaciones jurídicas que puedan producirse. A ello se añade que es carga del recurrente probar que la ejecución del acto o Sentencia impugnados deba producirle un perjuicio que hiciere perder al amparo su finalidad (ATC 199/2010 de 21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sus alegaciones afirmando la improcedencia de la suspensión solicitada al tener un contenido patrimonial, que se ciñe a la anulación del plan de ordenación municipal de Toledo, que se declara contrario a derecho, con retroacción de actuaciones de tramitación hasta la fase de nueva información pública. Además, la suspensión de resoluciones judiciales firmes entraña en sí misma una perturbación de la función jurisdiccional, sin que, por otra parte, el recurrente haya cumplido adecuadamente con la carga de acreditar el perjuicio irreparable, pues ni la anulación del plan comporta necesariamente la inminente demolición “de todo cuanto se ha construido”, ni la anulación de infinidad de autorizaciones de usos, determinantes del cese inmediato de actividades y sacrificio de puestos de trabajo, de manera que las manifestaciones sobre los perjuicios que se ocasionarían no vienen acompañadas de elementos cuantitativos o cualitativos —aún como “principio razonable de prueba”— que concreten su existencia, alcance e irreparabilidad.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56.2 de la Ley Orgánica del Tribunal Constitucional (LOTC) que cuando la ejecución del acto o sentencia impugnados produzca un perjuicio al recurrente que pudiese hacer perder al amparo su finalidad, la Sala o, en su caso, la Sección que conozca de un recurso de amparo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 principio, pues, no procede la suspensión de las resoluciones judiciales por la perturbación de la función jurisdiccional que la misma supone, excepto en el caso de que el recurrente acredite suficientemente la irreparabilidad que para sus derechos fundamentales pudiera tener la ejecución y siempre “que la suspensión no ocasione perturbación grave a un interés constitucionalmente protegido, ni a los derechos fundamentales o libertades de otra persona”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es doctrina reiterada y unánime de este Tribunal, que la previsión contenida ahora en el art. 56.2 LOTC (en la redacción anterior a la reforma de la Ley Orgánica 6/2007 la establecía el art. 56.1 LOTC), que exige como uno de los requisitos para otorgar la suspensión que la ejecución del acto del poder público por razón del cual se reclama el amparo ocasione “un perjuicio al recurrente que pudiera hacer perder al amparo su finalidad”, debe interpretarse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(ATC 125/2003, de 23 de abril, FJ 2, y, en el mismo sentido AATC 20/2009, de 26 de enero, 94/2010, y 95/2010, ambos de 19 de julio, 122/2012, de 18 de junio, entre muchos). Por esta razón este Tribunal no accede, salvo excepciones, a la solicitud de suspensión de resoluciones que imponen obligaciones de pago de cantidad o, en general, de contenido económico o patrimonial, pues la lesión que de ellas se deriva es normalmente reparable (AATC 125/2003, de 23 de abril; 326/2005, de 12 de septiembre; 152/2006, de 8 de mayo; 357/2006, de 9 de octubre; 118/2008, de 28 de abril; 388/2008, de 15 de diciembre; y 20/2009 de 26 de enero; 95/2010, de 19 de julio, y 81/2012, de 7 de mayo,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relación a los perjuicios de carácter patrimonial o económico hemos señalado que, por más que puedan producir efectos desfavorables a quien demanda amparo, no pueden considerarse, en principio, como causa suficiente para acordar la suspensión de una resolución judicial firme (AATC 93/2002, de 3 de junio; 106/2002, de 17 de junio; 165/2003, de 19 de mayo; 326/2005, de 12 de septiembre, y 386/2008, de 15 de diciembre, por todos). Sólo en el caso de que el recurrente en amparo justificase cumplidamente que el no otorgamiento de la suspensión le ocasionaría un perjuicio irreparable que haría perder al amparo su finalidad, (entre otros, ATC 185/2014, de 8 de julio), y siempre que de dicha medida cautelar no se siga perturbación grave de los intereses generales o de los derechos y libertades fundamentales de un tercero, procedería acordar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es doctrina constante del Tribunal que para excepcionar la regla general de la no suspensión es carga del recurrente probar que la ejecución del acto o Sentencia impugnados deba producirle un perjuicio que hiciere perder al amparo su finalidad (por todos AATC 39/2008, de 11 de febrero, FJ 1; 40/2008, de 11 de febrero, FJ 3, y 59/2008, de 20 de febrero, FJ 2). Así respecto de la carga alegatoria y probatoria del incidente en ATC 81/2012, de 7 de mayo, FJ 3, con cita de otros, hemos afirmado: “la acreditación del perjuicio es carga del recurrente, quien debe precisar los concretos perjuicios que de la ejecución se deriven, así como justificar o argumentar razonadamente la irreparabilidad de los mismos (AATC 107/1981, 226/1982, 385/1983, y 193/1984). A la par hemos dicho que, en todo caso, el perjuicio irreparable debe ser real, sin que sea posible alegar un perjuicio futuro o hipotético o un simple temor (AATC 490/1984, 399/1985, y 51/1989, entre otros muchos), y que la pérdida de la finalidad del amparo no puede equipararse a la mayor o menor dificultad, molestia o incomodidad para el recurrente, pues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 y que la pérdida de la finalidad del amparo no puede equipararse a la mayor o menor dificultad, molestia o incomodidad para el recurrente, pues debe entenderse como perjuicio irreparable ‘aquel que provoque que el restablecimiento del recurrente en el derecho constitucional vulnerado sea tardío e impida definitivamente que tal restauración sea efectiva’ (ATC 20/1992) y haga ‘devenir inútil el proceso constitucional de amparo’ (AATC 51/1989 y 255/1996)”.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del examen de la solicitud de suspensión formulada cabe concluir que no se han acreditado circunstancias excepcionales que lleven a conceder la suspensión pedida. En efecto, como bien indica el Ministerio Fiscal, la suspensión que se solicita tiene un contenido patrimonial, que se circunscribe a la anulación del plan de ordenación municipal de Toledo, con retroacción de actuaciones de tramitación hasta la fase de nueva información pública. Ahora bien, dicho pronunciamiento no comporta como afirma el recurrente “la demolición de todo cuanto se ha construido”, ni tal consecuencia resulta acreditada por el documento núm. 6 al que alude el demandante y que se acompaña con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insistirse en que el perjuicio irreparable debe ser real, sin que sea posible alegar un perjuicio futuro o hipotético. No basta con afirmaciones genéricas relativas a que la ejecución comportará “una verdadera catástrofe de consecuencias incalculables no solo en pérdidas económicas o patrimoniales, incluyendo demoliciones de lo construido con arreglo al Plan y anulación de infinidad de autorizaciones de usos, sino computables también en el número de puestos de trabajo que puede quedar sacrificados”, sino que se deben precisar los concretos perjuicios que de la ejecución se derivaran. Carga probatoria que la Administración recurrente no aporta, al omitir datos concretos que puedan ser calificados de principio razonable de prueba y que permitan avalar lo manifestado, sino que se limita a efectuar una afirmación genérica e inconcreta carente de la necesaria acreditación. En tal sentido, como indica el Ministerio Fiscal, ni la anulación del plan comporta necesariamente la inminente demolición de todo cuanto se ha construido, ni supone la anulación de infinidad de autorizaciones de usos, determinantes del cese inmediato de actividades y sacrificio de puestos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la ausencia actual de las circunstancias excepcionales que llevan a conceder la suspensión pedida, esto es, la falta de acreditación de un perjuicio irreparable, real y concreto, no es óbice para que en un momento posterior durante el curso del procedimiento de amparo, el recurrente pueda plantear de nuevo ante este Tribunal la procedencia de la suspensión, “en virtud de circunstancias sobrevenidas o que no pudieron ser conocidas al tiempo de sustanciarse el incidente de suspensión” (ex art. 57 LOTC), que satisfagan el presupuesto exigido.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