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15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3544-2019, promovido por Euroinversiones Inmobiliarias Costa Sur, S.L., en procedimiento de ejecución hipotecaria,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6 de junio de 2019, la entidad Euroinversiones Inmobiliarias Costa Sur, S.L., representada por la procuradora de los tribunales doña Blanca Berriatua Horta y bajo la dirección del letrado don Marcelino Gilabert García, interpuso recurso de amparo contra los autos dictados por el Juzgado de Primera Instancia e Instrucción núm. 5 de Lorca en el procedimiento de ejecución hipotecaria núm. 292-2018, en fechas 21 de septiembre de 2018 y 23 de abril de 2019, por los que, respectivamente, se inadmitió por extemporánea la oposición a la ejecución hipotecaria y se confirmó esta última decisión al desestimarse el recurso de reposición interpuesto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resolver la pretensión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Juzgado de Primera Instancia e Instrucción núm. 5 de Lorca se sigue procedimiento de ejecución hipotecaria núm. 292-2018, promovido por la entidad Banco de Sabadell, S.A., frente a las sociedades Euroinversiones Inmobiliarias Costa Sur, S.L., y Penrei Inversiones, S.L.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9 de mayo de 2018 se acordó despachar ejecución frente a las sociedades demandadas. El citado auto y el decreto de la misma fecha que le sigue fueron comunicados a la entidad Euroinversiones Inmobiliarias Costa Sur, S.L., a través de la sede judicial electrónica el día 11 de mayo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entidad Euroinversiones Inmobiliarias Costa Sur, S.L., presentó escrito de oposición a la ejecución despachada, con fecha 10 de julio de 2018. Por auto de 21 de septiembre de 2018 se acordó su inadmisión por presentación extemporánea, tomando como fecha de notificación del auto el 11 de mayo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sociedad mercantil recurrente interpuso recurso de reposición alegando, en síntesis, que las actuaciones de notificación y requerimiento no habían sido realizadas el día 11 de mayo de 2018, sino el 26 de junio de 2018, y que la comunicación remitida a través de la dirección electrónica habilitada no podía entenderse nada más que como un aviso de puesta a disposición o descarga de su contenido durante un plazo determinado (en el caso desde el 11 de mayo al 26 de junio de 2018) y entenderlo de otro modo, además de infringir los arts. 135, 152, 160, 162 de la Ley de enjuiciamiento civil (LEC), vulneraba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recurso fue resuelto por auto de 23 de abril de 2019 en sentido desestimatorio, al constatar su condición de persona jurídica y la obligación que como tal tiene de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de 1 de octubre, del procedimiento administrativo común de las administraciones públicas (LPACAP) y 373.3 LEC, y determina que la recurrente yerra “en el plazo en el que puede acceder a su contenido a efectos de la práctica de la notificación el cual es de diez días naturales desde la puesta a su disposición y ello por imperativo del art. 43 de la citada LPACAP”, que reproduce.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la interpretación ofrecida en el auto objeto de impugnación, que se apoya en la Ley de procedimiento administrativo, eludiendo las garantías exigibles para las notificaciones de un proceso judicial, cercena el derecho a la tutela judicial efectiva al privar a la recurrente del derecho a formular oposición en un proceso de ejecución hipotecaria. A tal fin, aduce que siguió la literalidad de las instrucciones contenidas en un correo electrónico que recibió procedente del servicio de notificaciones electrónicas, accediendo al contenido de la notificación dentro del plazo establecido en el mismo. El citado correo tiene el siguiente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recibido una Notificación del organismo emisor Juzgados y Tribunales (SGAJ) en la Dirección Electrónica Habilitada Única del titular Euro-Inversiones Inmobiliarias Costa Sur SL — NIF B73258006.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Notificación estará disponible en su Dirección Electrónica Habilitada única desde el 11-05-2018 hasta el 26-07-2018. Si no procediera a su lectura en el plazo indicado se producirán los efectos correspondientes, según la normativa aplicable. Para que conste como leída, por favor acceda a http://notificaciones060.es Asunto: “JDO. 1 INST. E INSTR. N 5 DE LORCA EHJ/00000292/2018’”.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la entidad recurrente afirmando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solicita por medio de otrosí la suspensión del procedimiento de ejecución hipotecaria alegando que si como consecuencia de su continuación “se decretara la celebración de subasta y la eventual adjudicación a terceros, puede hacer esto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febrero de 2020, la Sección Segunda de este tribunal acordó admitir a trámite el recurso de amparo y dirigir comunicación al Juzgado de Primera Instancia e Instrucción núm. 5 de Lorca, a fin de que emplazase a quienes hubieran sido parte en el procedimiento de ejecución hipotecaria núm. 292-2018, excepto la parte recurrente en amparo, para que en el plazo de diez días pudieran comparecer en el recurso de amparo, si lo desean. En esta providencia no se reclaman las actuaciones por estar ya incorporadas al expediente.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y, conforme a lo dispuesto en el art. 56 de la Ley Orgánica del Tribunal Constitucional (LOTC),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través de escrito presentado el 14 de febrero de 2020, la parte demandante formuló sus alegaciones, reiterando lo dicho en el otrosí de su demanda y trascribiendo parte del ATC 287/2013, de 16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registrado el 25 de febrero de 2020, interesa que se acuerde la anotación preventiva de la demanda en el registro de la propiedad, aunque esta última medida no haya sido solicitada en el recurso de amparo. Tras exponer la doctrina de este tribunal sobre suspensión de resoluciones y actos impugnados, considera que la aplicación al caso de dicha doctrina nos debe llevar a considerar que nos encontramos en uno de esos supuestos en que, de no adoptarse la medida de anotación preventiva de la demanda, la tutela que pudiera otorgarse por este tribunal no sería completa si se deja abierta la posibilidad de que la finca sea transmitida a un tercero de buena fe mientras se sustancia y resuelve el presente recurso de amparo, por lo que interesa la anotación preventiva de la demanda en el registro de la propiedad evitando así situaciones cuya reversibilidad sería imposible.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la parte recurrente en amparo y dirigida frente al procedimiento de ejecución hipotecaria núm. 292-2018, seguido en el Juzgado de Primera Instancia e Instrucción núm. 5 de 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13 de febrero, FJ 2; 74/2013, de 8 de abril, FJ 2; 152/2013, de 8 de julio, FJ 2; 37/2014, de 10 de febrero, FJ 2; 282/2014, de 17 de noviembre, FJ 4,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aquellos,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de la que se ha hecho mención al caso aquí planteado permite concluir, de acuerdo con el Ministerio Fiscal, que resulta improcedente la suspensión solicitada y, por el contrario, medida idónea la anotación preventiva de la demanda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se limita a poner de manifiesto, genéricamente, que la eventual adjudicación a terceros puede hacer perder al recurso de amparo su finalidad, sin añadir indicación alguna sobre la situación y circunstancias de la entidad mercantil recurrente así como sobre las características, destino y estado posesorio del inmueble hipotecado. En tales circunstancias, no es posible afirmar que la continuación del curso del procedimiento judicial, incluso con un desplazamiento posesorio, provoque por sí sola un perjuicio determinante de la pérdida de la finalidad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tribunal entiende que las circunstancias que presenta el supuesto sometido a su consideración llevan a estimar la procedencia de acordar, de modo alternativo, la medida cautelar de anotación preventiva de la demanda de amparo en el registro de la propiedad, en cuanto se reputa medida idónea para evitar el perjuicio derivado de que la adquisición del bien por tercero lo haga irreivindicable.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ha sido la solución acogida en varios autos que resuelven incidentes de ejecución de esta misma serie de recursos de amparo. Valgan como ejemplo, en relación con el mismo recurrente en amparo, los recientes AATC 174/2019 y 177/2019, de 16 de diciembre, 4/2020, 5/2020, 6/2020 y 8/2020, de 27 de enero, y 15/2020, de 10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y que, de acuerdo con el ATC 95/2015,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 Nuestra decisión en esta materia al ordenar que se practique la anotación preventiva, remite al órgano judicial la práctica de las actuaciones pertinentes para que pueda llevarse a efecto la medida, de conformidad con la legislación procesal e hipotecaria (AATC 257/2003, de 14 de julio; 406/2003, de 15 de diciembre; 230/2007, de 7 de mayo, FJ 3;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292-2018, seguido en el Juzgado de Primera Instancia e Instrucción núm. 5 de Lorca.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