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3604-2011, promovido por doña Carmen Menéndez González-Palenzuela y doña Rosa María Alcalá Chacón, representadas por el Procurador de los Tribunales don Jorge Laguna Alonso y asistido por el Abogado don Wilfredo Jurado Rodríguez, contra los acuerdos de la Mesa de la Comisión de Medio Ambiente, Vivienda y Ordenación del Territorio de la Asamblea de Madrid de 14 de marzo de 2011, que dispusieron, de un lado, aceptar que el Consejo de Gobierno de la Comunidad de Madrid delegase en el Director General de Medio Ambiente la comparecencia sobre la propuesta de declaración del parque nacional de las Cumbres de la Sierra de Guadarrama y, de otro, que las propuestas de resolución sobre esa cuestión hubieran de ser de aceptación o rechazo global, inadmitiendo por ello la propuesta de modificación registrada por el Grupo Socialista. Han comparecido los Letrados de la Asamblea de Madrid en nombre de ésta. Ha intervenido el Ministerio Fiscal. Ha sido Ponente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22 de junio de 2011 y presentado en el servicio de registro central de los Tribunales civiles de Madrid el día 15 de junio de 2011, el Procurador de los Tribunales don Jorge Laguna Alonso, en nombre y representación de doña Carmen Menéndez González-Palenzuela y de doña Rosa María Alcalá Chacón, “Diputadas y en su calidad de miembros del Grupo Parlamentario Socialista en la Asamblea de Madrid”, interpuso demanda de amparo contra los acuerdos de la Mesa de la Comisión de Medio Ambiente, Vivienda y Ordenación del Territorio de dicha Asamblea de 14 de marzo de 2011, que dispusieron, de un lado, aceptar que el Consejo de Gobierno de la Comunidad de Madrid delegase en el Director General de Medio Ambiente la comparecencia sobre la propuesta de declaración del parque nacional de las Cumbres de la Sierra de Guadarrama y, de otro, que las propuestas de resolución sobre esa cuestión hubieran de ser de aceptación o rechazo global, inadmitiendo por ello la propuesta de modificación registrada por el Grupo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Dentro del proceso para la declaración como parque nacional de un espacio natural, regulado por la Ley 5/2007, de la red de parques nacionales destacan las siguientes determinaciones. Art. 10.1: “La declaración de Parque Nacional … se hará por Ley de las Cortes Generales”; art. 10.3: “La iniciativa … corresponde al órgano que determine la Comunidad Autónoma o al Gobierno del Estado. En todo caso, la iniciativa se formalizará mediante la aprobación inicial de la propuesta por las Comunidades Autónomas en cuyo territorio se encuentren situados”; art. 10.5: “La propuesta, tras su aprobación inicial, será sometida a trámite de información pública …”; y 10.6: “Finalizado el trámite anterior, la propuesta será sometida a la Asamblea Legislativa de la Comunidad o Comunidades Autónomas afectadas y, tras obtener su acuerdo favorable, será trasladada al Ministerio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noviembre de 2009 se firmó un Protocolo general de colaboración entre la Comunidad Autónoma de Madrid y la Comunidad Autónoma de Castilla y León habida cuenta del ámbito territorial al que se extiende la declaración del parque nacional, que contenía la propuesta de declaración del parque nacional de las Cumbres de la Sierra de Guadarrama, acordando el Consejo de Gobierno de la Comunidad de Madrid en su reunión de 17 de febrero de 2011 dar traslado de tal propuesta a la Asamblea Legislativa de esta Comunidad Autónoma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22 de febrero de 2011 se acordó, por la Presidencia de la Cámara, requerir a la Secretaría General un informe jurídico respecto de la tramitación de dicha propuesta, que ésta evacuó el 3 de marzo concretando los siguientes puntos: “verificado el cumplimiento de los trámites previos, la Asamblea de Madrid deberá tramitar la propuesta recibida. Como es lógico, por respeto a la autonomía parlamentaria, la Ley 5/2007 no fija el procedimiento, sino que se limita a exigir, a efectos de continuar la tramitación, que las Asambleas Legislativas de las Comunidades Autónomas afectadas aprueben la propuesta de sus respectivas Comunidades, de modo que será la normativa interna la que determine el tipo de procedimiento parlamentario que haya de aplicarse. En el caso de la Asamblea de Madrid, a falta de un procedimiento específico, por lo demás no imprescindible, el precepto reglamentario que parece más acorde con las competencias de la Cámara, que no se limitan a las de mero debate o examen, sino que requieren un pronunciamiento expreso favorable sobre la propuesta para que ésta pueda prosperar, es el art. 215 RAM [Reglamento de la Asamblea de Madrid, aprobado por el Pleno el 30 de enero de 1997], previsto para el caso de que ‘el Consejo de Gobierno remitiera un programa o un plan requiriendo el pronunciamiento de la Asamblea’. En principio, el Reglamento da preferencia a la tramitación de tales propuestas en comisión, de manera que la Mesa de la Cámara debe ordenar su envío a la que considere competente, en este caso la de Medio Ambiente, Vivienda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concluía subrayando que “dado que se trata de una propuesta común de las dos Comunidades afectadas, articulada en torno a un Protocolo General de Colaboración, firmado el 18 de noviembre de 2009, el contenido de las propuestas de resolución habrán de ceñirse a la aprobación o rechazo en bloque de la iniciativa, de forma análoga a lo previsto en el art. 179.5 RAM sobre autorización de acuerdos o convenios de cooperación. En todo caso será la Mesa de la Comisión la que deba organizar la tramitación de la iniciativa y fijar los plazos correspondientes (art. 215.3 RAM)”.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 la Asamblea de Madrid, reunida el 9 de marzo de 2011, acordó “dar traslado a la Comisión de Medio Ambiente, Vivienda y Ordenación del Territorio, para que la Mesa de la citada Comisión, en los términos establecidos en el art. 215 del Reglamento de la Asamblea, proceda a la tramitación de la iniciativa y a la fijación de los plazos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10 de marzo de 2011 tuvo lugar sesión de la Mesa de la citada comisión (Presidente, Vicepresidente y Secretaria), a la que asistieron además los portavoces de los grupos parlamentarios en esa comisión, acordándose alterar el orden del día de la comisión convocada para el 14 de marzo siguiente, incluyendo como primer punto del orden del día la tramitación de la iniciativa que nos ocupa y en dicho acto el Letrado de la Comisión repartió la propuesta de declaración de parque nacional de las Cumbres de la Sierra de Guadarrama, el acuerdo de la Mesa de la Asamblea de Madrid de 9 de marzo de 2011 y el informe jurídico de la Secretaría General de 3 de marzo de 2011. El Portavoz del Grupo Parlamentario Socialista mostró su disconformidad con la limitación de las propuestas de resolución a una mera aceptación o rechazo globales de la propuesta según se deducía del informe del Secretario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14 de marzo de 2011 se registró en la Asamblea un escrito del Viceconsejero de Vicepresidencia y Secretario General del Consejo de Gobierno de la Comunidad de Madrid por el que se comunica, a los efectos parlamentarios procedentes, que el Director General del Medio Ambiente presentará la propuesta ante la Comisión de Medio Ambiente, Vivienda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y portavoces de la Comisión, el mismo 14 de marzo, y de conformidad con informe del Secretario General, acuerda “que sólo quepa presentar propuestas de resolución de los Grupos parlamentarios que supongan una aceptación o rechazo global del contenido de la Propuesta de Declaración de Parque Nacional de las Cumbres de la Sierra de Guadarrama, con el voto en contra del Vicepresidente”, que era diputado del Grupo Socialista. El Portavoz (en la citada comisión) del Grupo Parlamentario Socialista plantea un nuevo debate sobre si cabe o no delegación por parte del Consejo de Gobierno en un director general para explicar ante la Comisión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Mesa solicitó informe jurídico sobre esa cuestión, suspendiendo la sesión y según el informe, la delegación “es viable, siempre que la Mesa de la Comisión competente decida autorizarla. Es decir, se trata de una mera propuesta que el Consejo de Gobierno formula a la Cámara, en cuyo seno es el órgano rector de la Comisión quien ostenta la competencia decisoria. Así se colige del art. 215, en relación con los arts. 213 y 209.4 RAM” y añade el informe: “Nuestro ordenamiento establece una prohibición general de delegación por parte de los órganos de las diferentes Administraciones públicas de los asuntos que se refieren a la relación con las Cortes Generales y las Asambleas Legislativas de las Comunidades Autónomas [art. 13 a) de la Ley 30/1992, de 26 de noviembre]. Excepción a dicha interdicción es la regla, generalmente afirmada en el derecho parlamentario, por la que se admite que los miembros del Consejo de Gobierno deleguen su intervención en los debates parlamentarios que se celebren en Comisión. Así, en el ámbito de la Asamblea de Madrid, el art. 209.4 prescribe que ‘los miembros del Consejo de Gobierno podrán delegar cada comparecencia ante la comisión correspondiente en los altos cargos de sus respectivos departamentos, previa autorización concedida al efecto por la Mesa de la Comisión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de los servicios jurídicos de la Asamblea concluye reconociendo que existen precedentes en los que un plan o comunicación del Consejo de Gobierno han sido sustanciados compareciendo, por delegación, un alto cargo de la Consejería, no un miembro del Consejo de Gobierno y detalla a continuación alguno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reanudación de la sesión, y en la línea del informe jurídico, se admitió la delegación comunicada por el Consejo de Gobierno con los votos a favor del Presidente y la Secretaría de la Mesa y en contra del Vicepresidente.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También el mismo día 14 de marzo se celebró la reunión de la Comisión y consta en el acta 34-2011 que se inició, según prevé el art. 213 RAM (el art. 215.2 RAM remite en cuanto al debate en comisión de las comunicaciones del Consejo de Gobierno a lo previsto en los arts. 213 y 214 RAM), con un debate sustanciado con la intervención sucesiva del Consejo de Gobierno (del Director General del Medio Ambiente, por delegación), de un representante de cada grupo parlamentario, del Consejo de Gobierno para contestar a los grupos parlamentarios de forma global, de los representantes de los grupos parlamentarios para replicar y, finalmente, del Consejo de Gobierno para cerrar el debate. Terminado el debate, en los términos del art. 214.1 RAM, se abrió un plazo para que los grupos parlamentarios presentasen propuestas de resolución ante la Mesa de la Comisión, que admitió a trámite la del Grupo Parlamentario Popular (de aceptación global) y la del Grupo Parlamentario de Izquierda Unida (de rechazo total) por ser “congruentes con la materia objeto de la comunicación” (art. 214.2 RAM) e inadmitió la registrada por el Portavoz en la Comisión del Grupo Parlamentario Socialista (de modificación) expresando éste su disconformidad diciendo que “las propuestas deben ser debatidas” (“Diario de Sesiones de la Asamblea de Madrid” núm. 850-14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sostiene que los acuerdos de la Mesa de la Comisión de Medio Ambiente, Vivienda y Ordenación del Territorio adoptados en su sesión de 14 de marzo de 2011 lesionan el derecho fundamental consagrado en el art. 23.2 CE, en relación con los arts. 213 a 215 RAM y subraya, en primer lugar, que es doctrina constitucional que dicho derecho no se agota en el acceso al cargo sino que abarca el ejercicio de la función representativa (STC 32/1985, de 6 de marzo), y que este ius in officium es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subraya la demanda que respecto de los preceptos que sirven de base a los acuerdos en que se centra la lesión, art. 213 RAM, al que remite el art. 215 RAM, “no está prevista delegación alguna por parte del Consejo de Gobierno de su comparecencia en comisión”, y que la lesión se produce “máxime si la delegación no existe, como es el caso (ausencia de acuerdo expreso para dicha delegación)”. La demanda concluye reconociendo que “la delegación realizada tendente a impedir el debate parlamentario con el Consejo de Gobierno en el procedimiento establecido por el art. 212 y ss. RAM vulnera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otro acuerdo, luego de copiar el art. 214 RAM, la demanda afirma que, según ese precepto, “las propuestas de resolución que los grupos presenten no han de ser de aceptación o rechazo. La inadmisión por esa razón de la propuesta planteada por mi mandante vulnera el derecho fundamental de acceso al cargo previsto en el art. 23.2 CE. De igual manera se produce vulneración por haber sido rechazada, la propuesta de resolución, por no resultar congruente con la materia objeto de la comunicación. Se desprende claramente de su contenido que sí era congruente y, por el contrario, ninguna explicación se ofrece que permita fundar la legalidad del acuerdo por dicha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recurrente, además y con alusión a las STCC 70/2009 y 155/2009, el asunto reviste especial transcendencia constitucional exigida como requisito de procedibilidad. Primero porque, aunque el Tribunal haya dictado sentencias sobre la relación entre el ius in officium de los parlamentarios y los actos de las Mesas de las Cámaras, este caso presenta novedades, pues se trata de una interpretación abiertamente contraria al Reglamento y que restringe el debate y condiciona las propuestas de resolución, aparte de enfocar cuestiones nuevas para la jurisprudencia constitucional como la falta de legitimación para delegar la intervención del Consejo de Gobierno ante la Comisión y la vulneración de la prohibición general de delegación ex art. 13.2 a) de la Ley 30/1992, de 26 de noviembre, de régimen jurídico de las Administraciones públicas y del procedimiento administrativo común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recurso suscita una cuestión jurídica que tiene “consecuencias políticas generales”. Así, en tanto amparo parlamentario, dado que no hay cauce de tutela ante la jurisdicción ordinaria, el recurso de amparo aparece como el único remedio posible, de modo que negar el acceso a él equivale a afirmar que hay áreas de ejercicio de poder público ajenas por completo a los principios constitucionales de control jurisdiccional, por lo que decidir sobre este caso permitiría al Tribunal Constitucional fijar el alcance de la potestad que el art. 215 RAM atribuye a las mesas de las comisiones y acabar así con un alto grado de indefinición, y por tanto de arbitrariedad, que deja a la voluntad de la mayoría la aplicación de dicha norma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en cuanto a la legitimación, aparte de que en el encabezamiento las actoras dicen promover el recurso como “Diputadas y en su calidad de miembros del Grupo Parlamentario Socialista en la Asamblea de Madrid”, en los fundamentos de derecho de orden procesal afirman que “conforme al art. 46.1 a) LOTC, está legitimada para interponer el recurso de amparo ‘la persona directamente afectada’, esto es, los miembros del Grupo Parlamentario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del Tribunal Constitucional acordó, por providencia de 13 de febrero de 2012, la admisión a trámite del recurso de amparo promovido contra los acuerdos de la Comisión de Medio Ambiente, Vivienda y Ordenación del Territorio adoptados en su reunión de 14 de marzo de 2011 y, de conformidad con el art. 51 de la Ley Orgánica del Tribunal Constitucional (LOTC), dirigir atenta comunicación a la Presidenta de la Asamblea de Madrid para que, en el plazo de diez días, remitiera testimonio de las actuaciones del expediente administrativo relativo a los citados acuerdos, acompañándose copia de la demanda de amparo para conocimiento de la referida comisión a efectos de la personación de la Cámara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 de marzo de 2012 tuvo entrada en el Registro General de este Tribunal testimonio del acuerdo de la Mesa de la Asamblea de Madrid, de 27 de febrero de 2012, que disponía dar traslado al Tribunal Constitucional de la fotocopia adverada del expediente solicitado y acordaba personarse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La Secretaría de Justicia de la Sala Primera de este Tribunal, por diligencia de ordenación de 6 de marzo de 2012, tuvo por recibidos los testimonios de las actuaciones remitidos por la Asamblea de Madrid y por personados a los Letrados de la misma. Asimismo, a tenor de lo dispuesto en el art. 52 LOTC, se acordó dar vista de las actuaciones por un plazo común de veinte días al Ministerio Fiscal y a las partes personadas, para que dentro de ese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recurrentes en amparo presentaron sus alegaciones en el Registro General de este Tribunal el 11 de abril de 2012, insistiendo en que la decisión de la Comisión de Medio Ambiente, Vivienda y Ordenación del Territorio “se ha realizado a partir de una interpretación restrictiva de los derechos de los parlamentarios y abiertamente contraria al Reglamento de la Asamblea de Madrid, impidiendo la existencia del debate imprescindible anterior a la adopción del acuerdo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Letrados de la Asamblea de Madrid, en escrito registrado en este Tribunal el 16 de abril de 2012, alegan, en primer lugar, varias causas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Extemporaneidad, pues dado que el plazo de interposición es de tres meses (42 LOTC) y que los acuerdos recurridos son de 14 de marzo, el recurso es extemporáneo, ya que “según el sello que figura en su primera página, tiene fecha de Registro General de ese Tribunal Constitucional de 22 de junio. Y sería extemporáneo aún en el supuesto de que la fecha que a renglón seguido se indica en el propio sello del Registro de Entrada, fuera relevante, pues es el anterior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legitimación activa en las actoras. En su escrito transcriben íntegros los fundamentos jurídicos 3 y 4 de la STC 98/2009, de 27 de abril, que subrayaba: “aunque entre los citados catorce Diputados solicitantes se encuentra quien a la sazón era el Portavoz del Grupo Socialista y en el encabezamiento del presente recurso de amparo figura subrayada dicha condición de Portavoz del citado grupo parlamentario, en ningún momento, ni en sede parlamentaria ni en la demanda rectora de este proceso constitucional, se ha alegado sin embargo que el citado Diputado actuara entonces y haya actuado ahora ante este Tribunal en nombre y representación del citado grupo parlamentario o en representación de los restantes Diputados firmantes de la solicitud de convocatoria y comparecencia consideradas”. Para los servicios jurídicos de la Asamblea de la Comunidad de Madrid, la condición de las demandantes de amparo que está también subrayada en el encabezamiento de la presente demanda de amparo al igual que en el supuesto de la STC 98/2009, “es una circunstancia meramente adjetiva y carente de consecuencias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esa doctrina a este caso, entiende la defensa jurídica de la Asamblea de Madrid que las firmantes del recurso que eran, respectivamente, la Portavoz y la Portavoz Adjunta del Grupo Parlamentario Socialista en la Asamblea de Madrid al tiempo de adoptarse los acuerdos recurridos, ni siquiera invocan dicha condición al formalizar la acción ante este Tribunal, como tampoco dicen actuar en nombre y representación de ese grupo parlamentario o de los diputados del mismo miembros de la comisión en la que se sustanció la iniciativa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parte estima relevante que, mientras la condición de Portavoz del Grupo Socialista lo fue durante la VIII Legislatura, este recurso se formalizó una vez disuelta la Cámara e incluso cuando la constitución formal del Grupo Parlamentario Socialista de la Asamblea de Madrid de la IX Legislatura ya se había producido por Acuerdo de la Mesa de la Cámara en sesión del día 13 de junio de 2011. Este nuevo grupo parlamentario es bien distinto del de la VIII Legislatura como lo demuestra, entre otras cosas, que de los seis diputados miembros del Grupo Parlamentario Socialista de la VIII Legislatura que asistieron a la sesión de la Comisión sólo tres forman parte también del Grupo Parlamentario Socialista de la IX Legislatura. Presupuesto lo anterior, esto es, que no está acreditada la actuación en representación del grupo parlamentario ni de los diputados socialistas integrantes de la Comisión, la defensa jurídica de la Asamblea sostiene que las firmantes promueven el recurso a título individual, siendo por tanto determinante que, conforme se acredita por la certificación de la correspondiente unidad administrativa que adjuntan a su escrito de alegaciones, ninguna de ellas fue miembro de la comisión en la que se sustanció la iniciativa gubernamental y durante cuyo desarrollo, según la demanda, se produjo la violación del art. 23.2 CE consistente en impedir el debate con el Consejo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solicita la inadmisión porque las recurrentes no levantan la carga que les incumbe de justificar que este Tribunal haya de decidir este recurso en razón de su especial transcendencia constitucional, pues en cuanto a la novedad que las actoras alegan que subyace en este asunto, la doctrina fijada por el Tribunal en la delimitación del ius in officium de los parlamentarios en relación a la función de calificación y admisión a trámite de las mesas de las Asambleas resulta más que suficiente para resolver la cuestión suscitada, sin que sea relevante al efecto que este recurso se dirija contra acuerdos de la Mesa de una comisión, pues pueden reputarse sus funciones en todo punto análogas a las de la Mesa de la Cámara. Y frente a los elementos que, según la demanda, justificarían el pronunciamiento del Tribunal, notan que en realidad las actoras plantean divergencias en cuanto a la interpretación del Reglamento de la Asamblea de Madrid, no sobre cómo la misma podría afectar, en un concreto caso, a una faceta de un derecho fundamental. Y otro tanto cabe decir, en su opinión, sobre la capacidad de delegación por parte de las Administraciones públicas de los asuntos referidos a las Asambleas y sobre la prohibición general de delegación ex art. 13.2 a) LPC, pues se trata de cuestiones de mera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otro lado, los servicios jurídicos de la Asamblea niegan que este recurso conlleve una cuestión que tenga “consecuencias políticas generales”, pues no se sostiene que todo amparo parlamentario, por el mero hecho de no haber tutela posible ante la jurisdicción ordinaria, sea de especial transcendencia constitucional, ya que es claro que los arts. 49 y 50.1 b) LOTC imponen a todas las categorías del recurso de amparo constitucional, sin excluir los que se articulan por el cauce del art. 42 LOTC, la necesidad de justificar aquélla en la demanda, ya que las actoras no explican cuál es la conexión lógica entre esa singularidad procesal y las consecuencias políticas generales de la cuestión jurídica planteada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esta parte, la demanda vuelve a colocarse en el ámbito de la legalidad ordinaria al ubicar las “consecuencias políticas generales” en la posibilidad de fijar el alcance de la potestad atribuida por el art. 215 RAM y de la capacidad de delegación por parte de los órganos administrativos de sus competencias referidas a las Asambleas Legislativas, por lo que “si bien el recurso planteado por los aquí demandantes de amparo no se encuentra totalmente huérfano de esa argumentación en la mención de la especial transcendencia constitucional, la misma tampoco pone en conexión las vulneraciones constitucionales alegadas con los criterios del art. 50.1.b) LOTC”, concluyendo que es manifiesta la “confusión entre el cumplimiento de la carga de justificar la trascendencia constitucional del amparo y la exposición de las alegaciones de fondo” y, en consonancia con ello, que los motivos alegados en la demanda no son suficientes para cumplir con el presupuesto procesal consistente en justificar la “especial trascendencia constitucional” del recurso, procediendo por tanto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fondo del asunto, los servicios jurídicos de la Asamblea alegan que la Mesa de la Comisión al aceptar que la comparecencia del Consejo de Gobierno fuese a través del Director General de Medioambiente se ajustó al Reglamento de la Cámara y no ocasionó merma alguna a los derechos reconocidos ex art. 23.2 CE. En efecto, consta un acuerdo inicial de la Mesa de la Asamblea, máximo órgano rector de la misma (art. 48.1 RAM), apoderando a la Mesa de la Comisión para organizar la tramitación de la iniciativa conforme a lo previsto en el art. 215 RAM para los planes y programas remitidos por el Consejo de Gobierno, pues el art. 215.3 RAM dice que “sin perjuicio de lo dispuesto en los apartados anteriores, la Mesa de la Comisión competente organizará la tramitación de los programas y planes del Consejo de Gobierno y fijará los plazos de la misma”. Así, dado que los arts. 213 y 214 RAM no prohíben expresamente que el Consejo de Gobierno comparezca mediante un alto cargo del área de que se trate, es la Mesa de la Comisión, en virtud de la genérica potestad de organización derivada del 215.3 RAM, quien puede aceptar o no posibles delegaciones del acto de la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Así, el acuerdo de la Mesa de la Comisión, en el ejercicio de las potestades nacidas del art. 215.3 RAM, entendió suficiente la remisión del escrito del Viceconsejero de Presidencia y Secretario General del Consejo de Gobierno de 11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frente a la tesis mantenida en el escrito de demanda, el art. 13.2 a) LPC ni forma parte de la “configuración legal” del ius in officium, que según la doctrina constitucional se materializa en los reglamentos de las Asambleas, ni puede prevalecer frente al Reglamento de la Asamblea de Madrid, que consiente, en los términos de la integración realizada por la Mesa de la Comisión, que pueda comparecer un alto cargo en comisión por delegación del miembro correspondiente del Consejo de Gobierno, lo que tiene el valor de los usos parlamentarios (STC 190/2009, FJ 4), que si bien ceden ante la norma reglamentaria sí permiten completar sus imprevisiones, primando en todo caso sobre otro tipo de preceptos legales como el art. 13.2 a)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Tampoco es cierto que se hurtase el debate parlamentario, pues éste se celebró en la sesión de la Comisión de 14 de marzo de 2011 y cumplió su doble finalidad informativa de la propuesta de declaración presentada ante la misma y de contraposición de posiciones políticas entre el Gobierno y los grupos parlamentarios representados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Otro tanto cabe decir, según esta parte, sobre la circunstancia que la Mesa de la Comisión, en uso de la potestad de organización ex art. 215.3 RAM, acordase que las propuestas de resolución hubieran de ser de aceptación o rechazo global, pues, como razonó el Secretario General en su informe de 3 de marzo de 2011, que a su vez cita la Mesa como fundamento de su decisión, “dado que se trata de una propuesta común de las Comunidades afectadas, el contenido de las propuestas de resolución habrán de ceñirse a la aprobación o rechazo en bloque de la iniciativa, de forma análoga a lo previsto en el art. 179.5 RAM sobre autorización de acuerdos o convenios de cooperación”, resaltando que la identidad de razón que justifica la analogía es que ambas iniciativas exigen, de un lado, el concierto de voluntades de al menos dos Comunidades Autónomas y, de otro, que concurra con ese acuerdo la voluntad de las Cortes Generales, autorizando o recibiendo sin objeción el convenio de cooperación en un caso y, en el otro, tramitando como proyecto de ley en los términos del art. 10 de la Ley 5/2007 la propuesta conjunta de las Comunidades Autónomas afectadas de que se declare un espacio natural como parque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una vez sentado que se ajusta al reglamento este acuerdo sobre la forma de la propuesta de resolución a presentar por los grupos parlamentarios, es evidente que, habida cuenta que el art. 214.2 RAM dispone que la Mesa de la Comisión “admitirá a trámite únicamente aquellas que sean congruentes con la materia objeto de la comunicación”, la decisión de inadmitir la registrada por el Grupo Socialista porque al no ser de aceptación o rechazo global es incongruente, es acorde con el reglamento y, por ello, no lesiona ninguna de las facetas de los derechos alegados por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Estas alegaciones formuladas por la defensa jurídica de la Asamblea Legislativa terminan con dos afirmaciones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que “aunque a efectos puramente dialécticos sostuviéramos que se hubiera producido una infracción de dicha norma, necesariamente habríamos de negar que la misma haya afectado al núcleo de la función representativa protegido por el art. 23 CE”, pues la presentación de propuestas de resolución sobre un plan del Gobierno no figura entre las facultades que este Tribunal ha identificado como integrantes de ese núcleo, ya que, “a diferencia de todas las categorías de iniciativas parlamentarias que aparecen en tal listado, esas propuestas de resolución son vicariales o subsidiarias de una iniciativa de la que sería autor el Gobierno y que éste habría presentado con anterioridad”. De ahí que la Mesa de la Comisión disponga de las potestades de “vigilancia de la congruencia material y formal de las propuestas de resolución con la propuesta de declaración planteada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que “debemos negar igualmente que haya existido arbitrariedad en esos Acuerdos, a la vista de que la argumentación contenida en los Informes jurídicos citados, los cuales obran en el expediente, sirvió en todo momento de motivación a aquéllos, respaldándolos conforme a la interpretación que efectuaban del Reglamento y a los precedentes parlamentarios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que registró sus alegaciones en este Tribunal el 23 de abril de 2012, solicita el otorgamiento del amparo sobre la base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cita extensa de la STC 57/2011, sintetiza la doctrina constitucional sobre el derecho invocado por las recurrentes (el recogido en el art. 23.2 CE en relación al art. 23.1 CE), resaltando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sólo garantiza el acceso igualitario a las funciones y cargos públicos, sino también su desempeño de conformidad con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trata de un derecho de configuración legal, configuración que se efectúa en los reglamentos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cualquier acto que infrinja la legalidad del ius in officium lesiona el derecho fundamental, pues sólo poseen relevancia constitucional a estos efectos los derechos o facultades que pertenezcan al núcleo de la función representativa parlamentaria, como son, indudablemente, el ejercicio de la función legislativa o el de control de la acción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impone el deber de motivar las decisiones que limiten tal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contraposición al informe del Secretario General de la Asamblea, según el que la propuesta de resolución habría de ser necesariamente de rechazo o aceptación global en recta analogía con el art. 179.5 RAM (integrado en su título IX sobre “Convenios y Acuerdos de cooperación de la Comunidad de Madrid”), el Fiscal califica la naturaleza de lo que era objeto de tramitación en la Asamblea de Madrid diciendo que “estamos en presencia de una iniciativa legislativa que corresponde a la Comunidad Autónoma, y que requiere, para su posterior tramitación como proyecto de ley en Las Cortes Generales, de su aprobación por las respectivas Asambleas Legislativas. Esta posibilidad de iniciativa legislativa de la Asamblea de Madrid no es desconocida por su Reglamento, en cuyo título VIII, bajo la rúbrica ‘De la solicitud al Gobierno de la adopción de Proyectos de Ley y de la remisión al Congreso de los Diputados de proposiciones de Ley’ contiene un procedimiento parlamentario a tal efecto. (arts. 175 a 177 RAM)” y todo ello le lleva a sostener que “se aprecia así una semejanza sustancial entre la tramitación de la Propuesta de Declaración de Parque Nacional de la Ley 5/2007, de 3 de abril, y las solicitudes de remisión al Gobierno de Proyectos de Ley a instancia de la Asamblea, de modo que, analógicamente [dado que los arts. 213 y 214 RAM no precisan de qué tipo ha de ser la propuesta de resolución], cabría aplicar el procedimiento que prevé el Reglamento y, en consecuencia, dado que el art. 176.1 RAM remite al procedimiento legislativo común, aplicar el mismo que prevé la posibilidad de presentar enmiendas a los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sigue el Fiscal, “el contenido de la propuesta de resolución del Grupo Parlamentario Socialista evidencia la necesidad no solo de un debate, sino de que las modificaciones, adicciones o supresiones a la Propuesta del Consejo de Gobierno puedan ser votadas autónoma y aisladamente”, y concluye reconociendo, a raíz de los razonamientos anteriores, que no conteniendo límite alguno los arts. 213 a 215 RAM, que fue el procedimiento elegido por la Comisión para la tramitación de la propuesta, la interpretación realizada por la Mesa de la Comisión, fundada en el informe del Secretario General de 3 de marzo de 2011, es restrictiva para el ejercicio del ius in officium que asiste a los diputados miembros de la Comisión de modo que impide el ejercicio pleno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segundo de los acuerdos pretendidamente lesivos, el Fiscal afirma que, dado que los arts. 213 y 214 RAM no se refieren a delegación alguna por parte del Consejo de Gobierno, una interpretación gramatical de la norma reglamentaria da la razón al recurrente, pero una interpretación sistemática de la normativa reglamentaria permitiría llegar a concluir que sería aplicable el art. 209.4 RAM que permite, en relación con la comparecencia de los miembros del Consejo de Gobierno ante las comisiones, “delegar cada comparecencia ante la comisión correspondiente en los altos cargos de sus respectivos departamentos, previa autorización concedida al efecto por la Mesa de la Comisión competente”. No obstante, el Fiscal acaba descartando que esa analogía quepa en este caso al tratarse el objeto del debate de una iniciativa legislativa y no de una mera pregunta oral efectuada a un miembro del Consejo de Gobierno, con lo que falta la necesaria identidad de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todo caso, el Fiscal expone que la prohibición de delegación, ex 13.2 a) LPC, pugna con la autonomía de las Cámaras Legislativas para regular su propio funcionamiento y constata que esta clase de delegaciones no son ajenas a ninguno de los Reglamentos de las Asambleas Legislativas. A pesar de ello, sigue diciendo, en este caso la naturaleza de iniciativa legislativa del acto sometido a votación y la transcendencia del debate “impone que sean los órganos políticos que asumieron y tramitaron la propuesta ante la Asamblea Legislativa quienes respondan las preguntas y objeciones de los diferentes Grupos Parlamentarios presentes en la Comisión, esto es, el miembro correspondiente del Consejo de Gobierno, de modo que la aplicación e interpretación de la normativa reglamentaria por la Mesa de la Comisión, en su Acuerdo de 14 de marzo de 2011, no ha sido la más favorable a la eficacia de las facultades que se integran en el ius in officium de los hoy recurrentes”. No son obstáculo a ello, termina diciendo el Fiscal, “los distintos precedentes parlamentarios de delegación de miembros del Consejo de Gobierno para comparecer ante las Comisiones a los que se refiere el informe de la Secretaría General de 14 de marzo de 2011, pues los mismos en cuanto usos parlamentarios, sin perjuicio de encontrar en el mismo reglamento su límite, no pueden impedir u obstaculizar desproporcionadamente las facultades reconocidas a los parlamentarios en el ejercicio de sus funciones constitucionalmente garantizadas (STC 57/2011,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septiembre de 2012 se señaló para deliberación y fallo de la presente Sentencia el día 1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promueve por doña Carmen Menéndez González-Palenzuela y doña Rosa María Alcalá Chacón, “Diputadas y en su calidad de miembros del Grupo Parlamentario Socialista en la Asamblea de Madrid”, contra los acuerdos de la Mesa de la Comisión de Medio Ambiente, Vivienda y Ordenación del Territorio de dicha Asamblea de 14 de marzo de 2011, que dispusieron, de un lado, aceptar que el Consejo de Gobierno de la Comunidad de Madrid delegase en el Director General de Medio Ambiente la comparecencia sobre la propuesta de declaración del parque nacional de las Cumbres de la Sierra de Guadarrama y, de otro, que las propuestas de resolución sobre la cuestión hubieran de ser de aceptación o rechazo global, inadmitiendo por ello la propuesta de modificación registrada por el Grupo Socialista y el recurso de amparo se promueve por la vía del artículo 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posiciones de las partes, expuestas en los antecedentes, son, sintéticamente,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recurrentes consideran que los acuerdos impugnados, con desconocimiento de los términos en que los arts. 213 a 215 del Reglamento de la Asamblea de Madrid (RAM) configuran el ius in officium, impiden el debate parlamentario, bien porque lo reducen a aceptar o rechazar globalmente una propuesta, bien porque imposibilitan que el debate se produzca con el Consejo de Gobierno, lesionando así el derecho fundamental de los parlamentarios al ejercicio de las funciones y cargos públicos representativos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Letrados de la Asamblea de Madrid instan la inadmisión de este recurso de amparo por extemporáneo, por falta de legitimación de las actoras y porque, en su criterio, los razonamientos consignados al efecto en la demanda no son suficientes para levantar la carga de justificar la especial transcendencia constitucional que reviste este asunto. Subsidiariamente, en virtud de los argumentos detallados en los antecedentes, solicitan la desestimación íntegra de los motivos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nada dice de los óbices procesales suscitados por la representación de la Asamblea de Madrid y entiende que se “habría vulnerado el derecho de los recurrentes del art. 23.2 CE”. El Fiscal califica la naturaleza de lo que era objeto de tramitación en la Asamblea de Madrid como un supuesto de iniciativa legislativa, de donde deriva, de un lado, que es aplicable el art. 176.1 RAM que remite al procedimiento legislativo común con su posibilidad de presentar enmiendas y, de otro, que, aunque en otros casos fuese posible la delegación de la comparecencia del Consejo de Gobierno en un director general, en éste no lo sería por la transcendencia de lo que discute.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fondo de las cuestiones planteadas en la demanda es necesario verificar la concurrencia de los presupuestos procesales para la viabilidad del recurso, en particular aquellos respecto de los que los Letrados de la Asamblea de Madrid formulan objeciones.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análisis no encuentra obstáculo en el momento procesal en que nos hallamos, pues, según este Tribunal ha declarado repetidamente “los defectos insubsanables de que pudiera estar afectado el recurso de amparo no resultan sanados por que la demanda haya sido inicialmente admitida, de modo que la comprobación de los presupuestos procesales para la viabilidad de la acción puede siempre abordarse en la Sentencia, de oficio o a instancia de parte, pudiendo dar lugar a un pronunciamiento de inadmisión por falta de tales presupuestos, sin que a ello sea obstáculo el carácter tasado de los pronunciamientos previstos en el art. 53 LOTC” (por todas, SSTC 7/2007, de 15 de enero, FJ 2; 242/2007, de 10 de diciembre, FJ 2; y 43/2008, de 10 de marzo; FJ 2; 28/2011, de 14 de marzo, FJ 3; 29/2011 de 14 de marzo, FJ 3; y 69/2011, de 16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juicio de la representación de la Asamblea de Madrid, dado que el plazo de interposición es de tres meses (42 LOTC) y que los acuerdos recurridos son de 14 de marzo, el recurso es extemporáneo, pues, “según el sello que figura en su primera página, tiene fecha de Registro General de ese Tribunal Constitucional de 22 de junio. Y sería extemporáneo aún en el supuesto de que la fecha que a renglón seguido se indica en el propio sello del Registro de Entrada, como ‘Otros’, fuera relevante, pues es el anterior 15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a falta de previsión reglamentaria de un recurso de reposición, los acuerdos impugnados son firmes desde el mismo día 14 de marzo, resulta evidente que la entrada en el Registro General de ese Tribunal Constitucional el 22 de junio está fuera del plazo de tres meses previsto en el art. 42 LOTC, de donde se sigue que lo determinante para decidir sobre este óbice es si ha de reconocerse alguna relevancia al sello que atestigua que el 15 de junio anterior se presentó la demanda en el servicio de registro central de los Tribunales civiles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28/2011, de 14 de marzo, recapitula la doctrina constitucional sobre la cuestión, señalando que tanto antes como después de la reforma de la Ley Orgánica de este Tribunal operada por la Ley Orgánica 6/2007, de 24 de mayo, la regla es la presentación de la demanda de amparo en la sede de este Tribunal, admitiéndose solo como excepción la posibilidad de presentarla en otro lugar, excepción que la redacción vigente de la Ley Orgánica del Tribunal Constitucional regula de un modo preciso en su art. 85.2, según el que “los recursos de amparo podrán también presentarse hasta las 15 horas del día hábil siguiente al del vencimiento del plazo de interposición, en el registro del Tribunal Constitucional, o en la oficina o servicio de registro central de los tribunales civiles de cualquier localidad, de conformidad con lo establecido en el artículo 135.1 de la Ley 1/2000, de 7 de enero,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Constando que el sello de 15 de junio de 2011 es del servicio de registro central de los Tribunales civiles de Madrid, lo único que queda por examinar para concluir que se dan las circunstancias que hacen entrar en juego la excepción referida es si dicho día 15 de junio era el “día hábil siguiente al del vencimiento del plazo de interposición”. Partiendo de que el art. 80 LOTC prevé la aplicación supletoria de los preceptos de la Ley Orgánica del Poder Judicial (LOPJ) en materia de cómputo de plazos y que a su vez el art. 185 LOPJ remite a la regulación de este extremo que hace el Código civil (CC) el corolario necesario es que un plazo fijado por meses, como es el previsto en el art. 42 LOTC para promover un amparo parlamentario, se computa de fecha a fecha (art. 5.1 CC), regla de cómputo en la que el día del vencimiento será el correlativo mensual al de la notificación o publicación y en este caso la comunicación de los acuerdos impugnados se produjo el día 14 de marzo de 2011 y el día de vencimiento del plazo de tres meses para promover el recurso de amparo sería el 14 de junio de 2011, de modo que el 15 de junio de 2011 sí es el “día hábil siguiente al del vencimiento del plazo de interposición”, lo que nos conduce a afirmar que la demanda de amparo se presentó en lugar y tiempo oportunos y, en consecuencia, a rechazar el primero de los óbices procesales que suscitan los Letrados de la Asamblea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de los óbices procesales alegados, a juicio de la representación de la Asamblea de Madrid, consiste en subrayar que las Diputadas actoras carecen de legitimación para promover este recurso de amparo. Para resolver sobre esta cuestión, tal y como argumentan en su escrito de alegaciones los Letrados de dicha Asamblea, es de la mayor relevancia el análisis de la doctrina constitucional establecida en la STC 98/2009, de 27 de abril, pues en aquel asunto los recurrentes eran cuatro diputados, entre los que se encontraba quien a la sazón era el Portavoz del Grupo Socialista, condición que además aparecía subrayada en el encabezamiento del recurso de amparo. Sin embargo, resalta esta Sentencia, en ningún momento se alegó que el citado diputado actuase “ante este Tribunal en nombre y representación del citado grupo parlamentario o en representación de los restantes diputados firmantes de la solicitud de convocatoria y comparecencia consideradas”, lo que le lleva a “concluir que la condición del demandante de amparo, de Portavoz del Grupo Socialista, que está también subrayada en el encabezamiento de la presente demanda de amparo, es una circunstancia meramente adjetiva y carente de consecuencias jurídicas” (FJ 3), de modo que su intervención como demandante de amparo ha de entenderse a título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las Diputadas señora Menéndez y señora Alcalá ostentaban al tiempo de adoptarse los acuerdos recurridos la condición respectiva de Portavoz y Portavoz Adjunta del Grupo Parlamentario Socialista en la Asamblea de Madrid. Ahora bien, no sólo no invocan dicha condición al formalizar la acción ante este Tribunal sino que, además, a la luz de la doctrina fijada en la citada STC 98/2009, en ningún momento dicen disponer de un apoderamiento que les permita actuar ante este Tribunal en nombre y representación de ese grupo parlamentario o de los diputados del mismo miembros de la comisión en la que se sustanció la iniciativa considerada, pues las Diputadas recurrentes se limitan a decir, tanto en el encabezamiento del recurso de amparo como en el apartado donde razonan sobre su legitimación, que promueven el recurso de amparo en “su calidad de miembros del Grupo Parlamentario Socialista en la Asamblea de Madrid”. De lo anteriormente razonado, y sin necesidad de entrar en la vexata quaestio de si los grupos parlamentarios subsisten o no una vez disueltas las Cámaras, no cabe sino concluir que las Diputadas señora Menéndez y señora Alcalá promueven el presente recurso de amparo a título individual, y partiendo de esta premisa hemos de examinar si concurre en ellas la necesaria legitimación ad causam, que según el art. 46.1 LOTC viene determinada por ser “persona directamente afectada”, basándonos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tal como se detalló en los antecedentes, en aplicación de los arts. 213 y 214 RAM, a los que remite el art. 215.2 RAM, la intervención en el debate mantenido con el representante del Consejo de Gobierno estuvo a cargo de un portavoz de cada grupo parlamentario y, al finalizar el debate, la presentación de propuestas de resolución también correspondió a los grupos parlamentarios a través de sus portavoces, de donde se sigue que es el Grupo Parlamentario Socialista en la Asamblea de Madrid el que, desde esta óptica, es la persona directamente afectada por las decisiones de la Mesa de la Comisión de Medio Ambiente, Vivienda y Ordenación del Territorio, al aceptar que la comparecencia del Consejo de Gobierno se realizó mediante el Director General de Medio Ambiente y ser las propuestas de resolución obligatoriamente de aprobación o rechazo global, inadmitiendo en consecuencia la de modificación registrada por el portavoz de aquel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Diputadas recurrentes, a pesar de ser miembros del Grupo Socialista, actuaron ante este Tribunal a título individual y no como representantes del mismo, por lo que carecen de la conexión de interés jurídico con la materia objeto de impugnación que es imprescindible conforme al art. 46.1 LOTC para que les reconozcamos legitimación para sostener este recurso de amparo. En efecto, la sola condición de miembros de un grupo parlamentario no es suficiente para arrogarse la defensa de los derechos del grupo a que pertenecen, pues de lo contrario cada uno de los diputados de un grupo sería titular de una facultad impugnatoria que podría ejercitar individualmente, incluso en contra de la posible voluntad de los otros diputados del mismo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es doctrina constante de este Tribunal (por todas, las SSTC 42/1985, de 15 de marzo; 150/1990, de 4 de octubre; 98/2009, de 27 de abril y AATC 56/1999, de 9 de marzo y 244/2000 de 17 de octubre) que sólo la actuación unitaria de quienes dieron lugar a la constitución de la agrupación puede expresar válidamente su voluntad en el curso del correspondiente proceso, por lo que cada diputado no es titular de la facultad impugnatoria de la que puede disponer individualmente para pretender cuestionar por separado la decisión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cierto que a cada uno de los diputados que formaban parte de la Comisión de Medio Ambiente, Vivienda y Ordenación del Territorio, les asistía el derecho de votar a favor o en contra de las propuestas de resolución que, terminado el debate con el representante del Consejo de Gobierno, presentasen los portavoces de los grupos parlamentarios, pero el dato determinante es que, conforme se acredita por la certificación aportada por la representación de la Asamblea de Madrid junto a su escrito de alegaciones, ninguna de las dos Diputadas recurrentes fue miembro de la Comisión en la que se sustanció la iniciativa gubernamental y durante cuyo desarrollo, según la demanda, se produjo la violación del art. 23.2 CE consistente en impedir el debate con el Consejo de Gobierno y restringir las propuestas de resolución que cabía presentar.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ello, las recurrentes, dado que ni eran miembros de tal comisión ni alegan disponer de apoderamiento de uno o varios de los diputados que sí lo fueron que les permitiera actuar en su nombre, carecían de la necesaria legitimación para recurrir ante este Tribunal las decisiones de la Mesa de la Comisión de Medio Ambiente, Vivienda y Ordenación del Territorio que son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expuestos conducen a estimar que no concurre uno de los presupuestos procesales imprescindibles para la viabilidad de la acción, concretamente la legitimación de las recurrentes, por lo que procede inadmitir el presente recurso de amparo y no entrar a considerar las alegaciones de fondo que plantea.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doña Carmen Menéndez González-Palenzuela y doña Rosa María Alcalá Chacón.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