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6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planteó cuestión de inconstitucionalidad, admitida a trámite por providencia de la Sección 2ª de 4 de diciembre de 1985, en relación con la Ley 5/1983, de 29 de junio, de Medidas Urgentes en materia Presupuestaria, Financiera y Tributaria, en su disposición adicional 6ª.3, en cuanto crea un gravamen complementario para 1983 a la Tasa de juego sobre máquinas de azar, por poder infringir la misma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mismo órgano jurisdiccional ha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pasado, por darse los presupuestos previstos en el artículo 83 de la Ley Orgánica del Tribunal Constitucional (LOTC), habiéndose formulado en las mismas alegaciones por el Fiscal General del Estado y por el Letrado del Estado, en representación del Gobierno, en solicitud de que el Tribunal dicte en su día Sentencia. Se hallan, pues, conclusas, pendientes de señalamiento para deliberación y votación. En las registradas con los números 578, 579, 580, 581, 642, 643, 644, 645, 646, 685, 704, 923 y 1033 de 1985, el Tribunal acordó no acceder a la acumulación solicitada y decidió suspender la tramitación de cada uno de los procesos hasta que recayera Sentencia en las ya acumuladas, en razón a facilitar la más pronta resolución en éstas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Fiscal General del Estado se persona mediante escrito presentado el 23 de diciembre de 1985, en el que reproduce las alegaciones formuladas en la cuestión número 377/85, e interesa asimismo la suspensión de la tramitación hasta que recaiga Sentencia en las ya acumuladas.</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presentado el 26 de diciembre de 1985, y formula alegaciones en solicitud de que en su día se dicte Sentencia y, por otrosí que se acumule la presente cuestión a las ya acumuladas por Auto de 16 de julio de 1985.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5/1983, de 29 de junio, dándose por tanto los presupuestos de conexión objetiva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citada Ley, en las que se consideró más oportuno que acceder a la acumulación suspender el curso de los respectivos procesos, en razón a no retardar excesivamente la conclusión de los ya acumulados porque cada incidente de acumulación que se inicia supone la paralización de las cuestiones implicadas en tanto se sustancia el mismo, y a que la Sentencia que recaiga surtirá efectos en las demás cuestiones, obliga en el presente caso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1061 a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