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6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Sección segunda de 8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23 y 1033,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22 de enero de 1986,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24 de enero último y, solicita la suspensión de la tramitación de la presente cuestión, como se ha acordado en otras similares, hasta que recaiga sentencia en las ya acumuladas, reproduciendo las alegaciones efectuadas en relación con la cuestión 377/85.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articulo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1205/85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