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Ogando Cañizares, Procurador de los Tribunales, en nombre de don Félix Calvo Ortega interpone, confecha 29 de noviembre de 1985, recurso de amparo constitucional frente a resolución de la Sala Primera de lo Contencioso-Administrativo de la Audiencia Territorial de Madrid, de 9 de octubre de 1985, que confirma resolución del Tribunal Económico-Administrativo de Guadalajara. Suplica se declare que se ha producido una discriminación en su perjuicio, asi como que se deje sin efecto la obligación de ingresar la cantidad que corresponda por el concepto de percepción como parlamentario en el año 1978. Por otrosi suplica se suspenda la ejecución del acto por el que se solicita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su pretensión se deriva son, en resumen, como sigue. El hoy demandante de amparo efectuó una reclamación ante el Tribunal Económico-Administrativo de Guadalajara, que desestimó esa reclamación, contra liquidación tributaria practicada por el Impuesto Extraordinario sobre determinados rendimientos del Trabajo Personal. Frente a la resolución desestimatoria, interpuso el Sr. Calvo Ortega recurso contencioso-ad-ministrativo ante la Audiencia Territorial, que estimó parcialmente tal recurso en cuanto a la pretensión de que no se considerase infracción tributaria de omisión, la relativa al sueldo percibido como Senador de las Cortes Generales durante el año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mantiene el recurrente, vulnera el principio de igualdad de todos los españoles ante la ley consagrado por el art. 14 de la Constitución. En el año 1978 no se retuvo a ningún Senador cantidad alguna sobre su sueldo, por considerar la Cámara que no estaban sujetos a tributación sobre la renta. Y si la Audiencia confirma que el hoy recurrente ha de tributar por ese concepto, es claro que se está incidiendo en una discriminación perjudicial para él, vulnerando lo dispuesto en el art. 14 de la presente Constitución; máxime cuando la orden de no tributación no parte de unos funcionarios de las Cortes, sino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18 de diciembre de 1985 acordó conceder al demandante y al Ministerio Fiscal un plazo común de diez dias, a tenor de lo dispuesto en el art. 50 de la Ley Orgánica del Tribunal Constitucional (LOTC), para que alegasen lo que estimaran pertinente respecto a la posible prevención del motivo de inadmisión señalado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manifiesta, en su escrito de alegaciones, que la igualdad a que se refiere la Constitución actúa siempre desde la legalidad, sin que represente un tratamiento discriminatorio o arbitrariamente desigual el que una persona reciba una correcta aplicación de la Ley, mientras que a otros no se les aplique. Por lo que procede concluir la falta de contenido constitucional del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en escrito de alegaciones de 8 de enero de 1986, reitera y amplía los argumentos expuestos en su demanda, y acompaña fotocopia de certificado emitido por el Letrado Mayor de las Cortes Generales en que se hace constar que durante el año 1978 no se practicaron retenciones en la asignación de los parlamentarios, por cuanto que la Cámara no las consideró sujetas a la tributación sobre la renta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del art. 14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 de la Constitución establece que los españoles son iguales ante la ley, sin que pueda prevalecer discriminación alguna por razón del nacimiento, raza, sexo, religión o cualquier otra condición o circunstancia personal o so cial.</w:t>
      </w:r>
    </w:p>
    <w:p w:rsidRPr="00C21FFE" w:rsidR="00AD51A7" w:rsidRDefault="008777C4">
      <w:pPr>
        <w:rPr/>
      </w:pPr>
      <w:r w:rsidRPr="&lt;w:rPr xmlns:w=&quot;http://schemas.openxmlformats.org/wordprocessingml/2006/main&quot;&gt;&lt;w:lang w:val=&quot;es-ES_tradnl&quot; /&gt;&lt;/w:rPr&gt;">
        <w:rPr/>
        <w:t xml:space="preserve">Como ha puesto de manifiesto el Tribunal en muy reiteradas ocasiones, y recuerda oportunamente el Ministerio Fiscal, la igualdad lo es ante la ley y no contra la ley. Por eso, el hecho de que a unos Senadores se le haya exigido la tributación correspondiente al año 1978, y, en la práctica, otros puedan no haberla abonado, no incide en absoluto en el principió constitucional de igualdad.</w:t>
      </w:r>
    </w:p>
    <w:p w:rsidRPr="00C21FFE" w:rsidR="00AD51A7" w:rsidRDefault="008777C4">
      <w:pPr>
        <w:rPr/>
      </w:pPr>
      <w:r w:rsidRPr="&lt;w:rPr xmlns:w=&quot;http://schemas.openxmlformats.org/wordprocessingml/2006/main&quot;&gt;&lt;w:lang w:val=&quot;es-ES_tradnl&quot; /&gt;&lt;/w:rPr&gt;">
        <w:rPr/>
        <w:t xml:space="preserve">Por lo demás, la omisión por los servicios de la Cámara de retenciones a cuenta, según señala la Sentencia impugnada, se debe a creencias que no constituyen un título en que fundar jurídicamente una exención o un criterio de no sujección Lo único que se aduce es que no se les practicaron, ni al recurrente ni al resto de los Senadores, retenciones por ese concepto, lo que no prejuzga su deber de declarar sus ingresos y cumplir las obligaciones que se derivasen de la normativa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prevista en el art. 50.2.b) de la LOTC; conclusión que dá lugar a la improcedencia de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