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4 de noviembre de 1.985, tuvo entrada en este Tribunal un escrito mediante el cuál don Jorge Fernando Español Fumanal solicitó la concesión del beneficio de justicia gratuita, pidiendo que se le nombrasen Abogado y Procurador de oficio para interponer recurso de amparo contra la denegación presunta, por silencio administrativo, de la petición que había dirigido al Ministerio de Educación y Ciencia de "poder cursar un quinto curso de Derecho especializándose en Derecho Internacional".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11 de diciembre se acordó denegar la solicitud de justicia gratuita y se ordenó el archivo de las actuaciones. En él se razonaba en esencia, que lo que el Interesado llama "libertad académica" (que el solicitante hacía valer) cualguiera gue sea el significado de esa expresión, no aparece como derecho o libertad fundamental en la Constitución, por lo que su supuesta lesión es ajena al ámbito propio del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el referido Auto se interpuso recurso de súplica alegando que se le había privado del trámite del artículo 50 de la Ley Orgánica de este Tribunal y de Abogado y Procurador de oficio para su defensa, teniendo ya el beneficio de gratuidad anteriormente concedido; que este Tribunal tiene jurisdicción para resolver un recurso de amparo cuando llega el momento legalmente establecido para ello; y finalmente, hace diversas consideraciones sobre el valor de la libertad académica en una sociedad democrática.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Del recurso de súplica se dio traslado al Ministerio Fiscal el cual ha expuesto que la falta de jurisdicción puede ser apreciada en cualguier momento, siempre de modo liminar,y que si el Tribunal llega a la conclusión fundada de que no es competente para conocer, carece de sentido permitir que el recurso se tramite, y, en el caso presente, que se le designe abogado y procurador de oficio. No es compartible el criterio del recurrente de que se le ha privado de la audiencia previa del artículo 50 de la Ley Orgánica de este Tribunal pues la resolución que permite el arte 4 de dicha Ley se dicta sin oir a parte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 exposición que el recurrente hace en su escrito de súplica se desprende que el contenido objetivo de su pretensión de amparo pudiera corresponder a la jurisdición de este Tribunal una vez explicitado dicho contenido y su fundamento en la demanda formalizada al efecto por medio de Procurador y con asistencia de Abogado.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dejarsin efecto el Auto de 11 de diciembre de 1985 y que se dirijan sendas comunicaciones al Ilustre Colegio de Procuradores y al Consejo General de la Abogacía a fin de que designen colegiados del turno de oficio para la representación y defensa del solicitante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