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245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Mesa para la Unidad de los Comunistas.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día 3 de marzo, el Procurador señor Pinto Marabotto interpuso recurso de amparo constitucional en nombre de don Francisco Toribio Casas, representante general ante la Administración electoral, a los efectos del referéndum convocado por Real Decreto 214/1986, de 6 de febrero, de la Mesa para la Unidad de los Comunistas. En la demanda se dijo impugnar la Sentencia de 28 de febrero del año en curso, de la Sala Cuarta de lo Contencioso-Administrativo de la Audiencia Territorial de Madrid, por la que se desestimó el recurso interpuesto por el demandante actual, a través del procedimiento previsto en el art. 49 de la Ley Orgánica 5/1985, de 19 de junio, contra el acuerdo de la Junta Electoral Central de 20 de febrero de 1986 por el que se designó la Comisión de Radio y Televisión a los efectos del señalado referéndum, excluyéndose de la misma a la Mesa para la Unidad de los Comunistas por conceptuarla como «grupo político sin representación parlamentaria».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7 de marzo, la Sección Cuarta acordó tener por presentado el anterior escrito y dar al mismo el curso ordinario previsto en el Capítulo Segundo del Título III de la Ley Orgánica del Tribunal Constitucional, por no proceder su tramitación con arreglo a lo prevenido en el art. 49.4 de la Ley Orgánica 5/1985, de 19 de junio, toda vez que esta disposición legal no se refiere a la impugnación de actos como el que es ahora objeto de recurso, regulados no en el precepto citado, sino en el art. 65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día 10 de marzo, la representación actora interpuso contra la anterior providencia el recurso de súplica regulado en el art. 93.3 de la Ley Orgánica de este Tribunal, pidiendo que, estimándose dicho recurso, se dictase sin más dilación Sentencia resolviendo el amparo constitucional y aduciendo como fundamentación al respecto que, de no resolverse la queja constitucional por el «trámite privilegiado» dispuesto en el citado art. 49.4 de la Ley Orgánica 5/1985, el fallo que finalmente resolviera aquélla recaería una vez que el referéndum y sus consecuencias «hayan adoptado irreversible carta de naturaleza» y que, de otra parte, la improcedencia de dar al recurso la tramitación solicitada supondría, en definitiva, afirmar la inatacabilidad del acto de la Junta Electoral Central, «al que por extensión se contrae el amparo solicitado». La providencia recurrida -se concluye- contraría, además, lo dispuesto en el art. 24 de la Constitución, al hacer imposible la tutela efectiva de quien demanda por Jueces y Tribunales.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del día 7 de marzo se pusieron de manifiesto a la representación actora las razones determinantes de la imposibilidad de dar al recurso de amparo interpuesto otra tramitación distinta a la regulada, con carácter general, en nuestra Ley Orgánica, y estas razones, no desvirtuadas en Derecho por el recurrente en súplica, son ahora de reiterar. Es cierto que el art. 19.1 de la Ley Orgánica 2/1980, de 18 de enero, dispone que «contra los Acuerdos de las Juntas podrán interponerse los recursos o impugnaciones previstos en la legislación electoral general», pero este reenvío normativo no puede entenderse en los términos en que parece hacerlo la recurrente, esto es, abriendo frente a cualesquiera actos de dichas Juntas Electorales no importa qué tipo de recurso previsto en la legislación electoral general (Ley Orgánica 5/1985, de 19 de junio). Una recta interpretación de aquel art. 19.1 conduce, más bien, a ver en dicho precepto una extensión del régimen impugnatorio que se prevé frente a determinados actos de las Juntas en la legislación electoral general al ámbito del referéndum y cuando en el curso de éste se adoptasen por tales órganos de la Administración electoral resoluciones de carácter igual o análogo a las así susceptibles de los recursos previstos en la legislación electoral. En el caso actual, el acto que el demandante de amparo impugnó ante la Audiencia Territorial de Madrid -y frente al que, en una correcta identificación de la resolución supuestamente lesiva, deduce hoy su queja- fue el Acuerdo de 20 de febrero de 1986 por la que la Junta Electoral Central estableció la composición de la Comisión de Radio y Televisión prevista en el art. 65 de la Ley Orgánica 5/1985. Este precepto legal no establece recurso especial alguno frente al Acuerdo así adoptado, de tal manera que el reenvío operado por el art. 19.1 de la Ley Orgánica 2/1980, carece aquí de objeto. Por lo mismo, no es admisible el traslado que el recurrente intenta a este supuesto de lo prevenido, para un caso del todo diverso, en el art. 49.4 de la Ley Orgánica 5/1985, precepto éste en el que se establece una norma especial para la tramitación de los recursos de amparo que pudieran interponerse frente a la proclamación de candidatos por las Juntas Electorales. Ni esta norma de procedimiento prevé, en el sentido del art. 19.1 de la Ley Orgáica 2/1980, un recurso como el de amparo (establecido, como es obvio, en otro cuerpo legal) ni, de otra parte, la misma excepcionalidad de este trámite, que ha de ser objeto  de interpretación estricta, tolera una asimilación como la que el recurrente pretende.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 anterior hace evidente la vacuidad del alegato final que se nos dirige en la súplica y según el cual la tramitación ordinaria del presente recurso de amparo depararía a quien lo interpuso lesión en su derecho fundamental reconocido en el art. 24.1 de la Constitución. El actor ha obtenido ya, ante la jurisdicción ordinaria, una respuesta en derecho a su pretensión y obtendrá de este Tribunal la que merezca a través del procedimiento previsto en nuestra Ley Orgánica para resolver los recursos de amparo constitucional. Con ello se satisface cumplidamente el derecho invocado, que no lo es, ciertamente, para que se abran en favor del justiciable recurso o procedimientos que la Ley desconoce o que reconoce sólo para supuestos y en casos distintos de los que están en la base de su pretensión.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desestimar el presente recurso de súplica.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