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planteó la presente cuestión de inconstitucionalidad, admitida a trámite por providencia de la Sección Tercera de 8 de enero de 1986,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 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de lo Contencioso-Administrativo de la Audiencia Territorial de Pamplona,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436, 431, 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y 1033,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30 de enero de 1986, en el que formula alegaciones en solicitud de que en su día se dicte Sentencia, e interesa asimismo la acumulación de la presente cuestión a las ya acumuladas por Auto de 16 de julio de 1985.</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24 de enero último reproduciendo las alegaciones formuladas en la cuestión de inconstitucionalidad número 1.178/85 suscitada por la misma Sala de la Audiencia de Cáceres.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1182/85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