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José Hernández García venía desempeñando las funciones de Auxiliar de Clínica del Instituto Nacional de la Salud, adscrita a la Ciudad Sanitaria de LA FE de Valencia y el 1 de agosto de 1981 causó baja por enfermedad, permaneciendo en situación de incapacidad laboral transitoria hasta el agotamiento del periodo máximo el 1 de febrero de 1982 en que pasó a la situación de invalidez provisional, siendo por tal motivo declarada en situación de excedencia forzosa por enfermedad.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de alta el 7 de junio de 1982 por curación, solicitó su reincorporación al servicio activo en la misma plaza que habia desempeñado antes de su enfermedad, siendo esta solicitud denegada por silencio administrativo así como la reclamación previa a la vía jurisduccional, lo cual motivó la presentación de demanda ante la Magistratura de Trabajo nº 6 de Valencia, reclamando el derecho a ser reintegrada a su anterior plaza siendo ésto rechazado por sentencia de 9 de marzo de 1983, que le reconoció solamente ese derecho tan pronto como, en concurso abierto y permanente, su petición resulte preferente a tenor de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interpuso recurso de suplicación que fue desestimado por sentencia del Tribunal Central del Trabajo de 31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27 de noviembre siguiente presentó demanda de amparo contra esta última sentencia por violación del derecho reconocido en el artículo 14 de la CE., alegando un trato de desigualdad frente a otros colectivos de la Seguridad Social e incluso a otro personal de las Entidades gestoras para quienes la situación de invalidez provisional no supone pérdida de la estabilidad del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enero de 1986 la Sección dictó providencia acordando poner de manifiesto la posible existencia de las causas de inadmisibilidad del artículo 50.1.b) en relación con el 49.2.a) de la LOTC y del artículo 50.2.b) de la misma Ley, concediéndosele a la recurrente y al Ministerio Fiscal el plazo común de diez días para alegaciones, el cual fue cumplimentado por la primera mediante escrito con el que aportó poder acreditativo de la representación de su Procurador y, sin razonamiento alguno relativo a la segunda causa de inadmisibilidad propuesta, solicitó la admisión del escrito y documento que le acompaña, presentando el Ministerio Fiscal el suyo, interesando la inadmisión del recurso por el artículo 50.2.b) con fundamento en que la desigualdad estatutaria que existe entre el personal al que pertenece la demandante y otros colectivos distintos no constituye violación del articulo 14 de la CE., porque esa desigualdad viene justificada por tratarse de personal que realiza funciones distintas.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subsanado, de conformidad con el artículo 85.2 de la LOTC, el defecto de documentación advertido por la providencia de apertura de este trámite de admisión y no siendo por ello de aplicación la causa del artículo 50.1.b), el objeto del mismo queda reducido a resolver sobre la otra causa puesta de manifiesto en dicha providencia de acuerdo con lo previsto en el artículo 50.2.b).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afirma que el derecho a la igualdad ante la Ley que le garantiza el artículo 14 de la CE., ha sido violado al denegarse su reintegración en el mismo puesto de trabajo que tenía cuando causó baja por enfermedad, alegando en su fundamento que la desigualdad de régimen jurídico que en esta materia existe entre el artículo 36.4 del Estatuto de Personal no sanitario de la Seguridad Social de 5 de julio y el 45 del Estatuto del Personal Auxiliar de Clínica de la Seguridad Social de 26 de abril de 1973 constituye una discriminación contraria al principio de igualdad, que es obligado evitar concediendo a la demandante, Auxiliar Sanitaria, el mismo derecho de reincorporación al trabajo que aquel artículo 36.4 reconoce al Personal no Sanitario, utilizando para ello el criterio de interpretación que conduzca al tratamiento unitario de la cuestión debatida por afectar ésta a un elemento consustancial de la relación jurídico-profesional que es común a todo el personal de la Seguridad Social; pero esta tesis no es aceptable puesto que la jurisprudencia constitucional viene reiteradamente declarando que no toda desigualdad constituye discriminación, ya que la igualdad tan solo se viola cuando aquella está desprovista de justificación razonable y objetiva y esta clase de justificación no puede considerarse ausente cuando, como ocurre en el supuesto de autos, se establecen distintos regímenes estatutarios para cuerpos que prestan servicios o realizan funciones de diferente naturaleza y finalidad, dentro de un marco legislativo que autoriza esa diversidad estatutaria, según sucede en el caso contemplado por disposición del artículo 45.1 de la Ley General de la Seguridad Social, el cual no puede considerarse excedido con infracción del artículo 14 de la CE., por el hecho de que los dos Estatutos citados establezcan un distinto sistema de reintegración al servicio activo del personal que ha superado su situación de invalidez temporal, dado que la tendencia a la interpretación unitaria que aduce la demandante no puede llevarse al extremo radical de convertirla en ineludible imperativo de uniformidad absoluta, que permita desconocer las diferencias normativas que el ordenamiento jurídico establece en atención a lo específico de cada uno de los cuerpos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anterior fundamento conduce a estimar en la demanda de amparo falta manifiesta de contenido que justifique una decisión de este Tribunal, debiendo en su consecuencia decretarse la inadmisión del recurso en aplicación del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declara inadmisible el presente recurso de amparo,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