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abril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que tuvo entrada en el Registro deeste Tribunal el pasado día 7 de marzo D. Torcuato Hernández Olea interpone recurso de amparo contra la Ley 51/84 de 25 de diciembre que modificó la Ley 20/81 de 6 de julio sobre creación de reserva activa.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actor solicita de este Tribunal que en la Ley 51/84 de 25 de diciembre se entiendan incluidos junto con los capitanes y tenientes de la Guardia Civil, los suboficiales del referido cuerpo. El solicitante de amparo, fundamenta su pretensión en la pretendida vulneración de los arts. 14 y 23.2 de la Constitución Española al no incluirse en el referido texto legal a los miembros de la Guardia Civil con categoría de suboficiales.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UNICO.- El artículo 4.2 de la Ley Orgánica del Tribunal Constitucional (LOTC) dispone que "el Tribunal Constitucional apreciará de oficio o a instancia de parte su falta dejurisdicción o competencia".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Constitución atribuye en el art. 161.1.a) al Tribunal Constitucional competencia para conocer del recurso de inconstitucionalidad contra leyes y disposiciones normativas con fuerza de ley. Vía procesal distinta es la del recurso de amparo regulado en el párrafo b) del mismo artículo y apartado que remite a lo dispuesto en la Ley en cuanto a los supuestos de su procedencia y la forma de ejercerlo.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Ley Orgánica del Tribunal Constitucional dispone, en su art. 41.2, que el recurso de amparo constitucional protege a los ciudadanos frente a las violaciones originadas por disposiciones, actos jurídicos o simple vía de hecho de los poderes públicos. Aunque la Ley es, sin duda, una disposición emanada del Poder legislativo, su impugnación está reservada sólo a los órganos enumerados en el art. 162.1.a) de la Constitución que desarrolla el art. 32 de la LOTC y sustraída, por tanto, al ataque directo de los ciudadanos, los cuales, sin embar go, cuando invoquen un derecho o interés legítimo, podrán impugnar los actos de aplicación de la ley e indirectamente poner así en cuestión la validez de ésta, que incluso podrá ser declarada a través del procedimiento previsto en el art. 55.2 de la LOTC. Esta configuración constitucional y legal del recurso de amparo, determina también la competencia del Tribunal Constitucional.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Carece por tanto de competencia el Tribunal para conocer de la pretensión deducida en el presente caso por D. Torcuato Hernández Olea, y por tanto, en uso de la facultad que le confiere el art. 4.2 de la LOTC, procede así declararlo.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Sala ha acordado declarar de oficio la incompetencia del Tribunal para conocer del recurso directo contra la Ley 51/84, que modifica la Ley 20/81 sobre creación de reserva activa formulado por D. Torcuato Hernández Olea. Archívense las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abril de mil novecientos ochenta y seis.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