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en su recurso número 46/85, planteó la presente cuestión de inconstitucionalidad, admitida a trámite por providencia de la Sección Primera de 29 de enero de 1986, en relación con la Ley 5/1.983, de 29 de junio, de Medidas Urgentes en Materia Presupuestaria, Financiera y Tributaria, en su disposición adicional 6ª, número 3. en cuanto crea un gravamen complementario para 1983 a la Tasa de juego sobre máquinas de azar, por poder infringir la misma los articulos 134.7, 9.3</w:t>
      </w:r>
    </w:p>
    <w:p w:rsidRPr="00C21FFE" w:rsidR="00AD51A7" w:rsidRDefault="008777C4">
      <w:pPr>
        <w:rPr/>
      </w:pPr>
      <w:r w:rsidRPr="&lt;w:rPr xmlns:w=&quot;http://schemas.openxmlformats.org/wordprocessingml/2006/main&quot;&gt;&lt;w:lang w:val=&quot;es-ES_tradnl&quot; /&gt;&lt;/w:rPr&gt;">
        <w:rPr/>
        <w:t xml:space="preserve">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fundamentacicnes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 titucional (L0TC),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1019, 1033, 1061, 1088, 1139, 1159, 1177, 1178, 1182, 1203, 1204 y 1205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5 de Marzo último y, solicita la suspensión de la tramitación de la presente cuestión, como se ha acordado en otras similares, hasta que recaiga sentencia en las ya acumuladas, reproduciendo las alegaciones efectuadas en relación con la cuestión 1.178/85.</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6 de Marzo de 1.986, en el que formula alegaciones en solicitud de que en su día se dicte Sentencia, e interesa asimismo la acumulación de la presente cuestión a las ya acumuladas por Auto de 16 de julio de 1 .985.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obliga en la presente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77/86,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