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numero 243/84, planteó la presente cuestión de inconstitucionalidad, admitida a trámite por providencia de la Sección Cuarta de 5 de febrero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 7, 9.3 y 14, en relación con el 33.3 de la Constitución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y 1205,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medíante escrito presentado el 5 de Marzo último y, solicita la suspensión de la tramitación de la presente cuestión, como se ha acordado en otras similares, hasta que recaiga sentencia en las ya acumuladas, reproduciendo las alegaciones efectuadas en relación con la cuestión 1139/85.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 sentado el 6 de marzo de 1986, en el que formula alegaciones en solicitud de que en su día se dicte Sentencia, e interesa asimismo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 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obliga en la presente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94/86, a las acumuladas señaladas en el Antecedente 2ª.</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