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48/1985, planteó la presente cuestión de inconstitucionalidad, admitida a trámite por providencia de la Sección cuarta de 28 de enero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Antecedentes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380,381, 389, 390, 395, 396, 397, 398, 399, 400, 430, 431, 444, 445, 446 y 447, todas ellas de 1.985, fueron acumuladas por Auto del Pleno de 16 de julio del pasado año, por darse los presupuestos previstos en el articulo 83 de la Ley Orgánica del Tribunal Constitucional ( LOTC ),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reproduciendo las alegaciones formuladas en la cuestión de inconstitucionalidad número 1.178/85 e interesa la suspensión.</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enumaradas en el Antecedente 2º, aparecen promovidas en relación con el mismo precepto de la Ley 5/1983, de 29 de junio, dándose por lo tanto los presupuestos de conexión objetiva que permiten, de acuerdo con el articulo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 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Denegar la acumulación de la cuestión número 79/1.986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