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Valencia,en su recurso número 30/85, planteó la presente cuestión de inconstitucionalidad, admitida a trámite por providencia de la Sección Tercera de 19 de febrero de 1.986, en relación con la Ley 5/1985, de 29 de junio, de Medidas Urgentes en Materia Presupuestaria, Financiera y Tributaria, en su disposición adicional 6ª, núm. 3, en cuanto crea un gravamen complementario para 1983 a la Tasa de juego sobre máquinas de azar, por poder infringir la misma los articulos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de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Ectado y por el Abogado del Estado, en representación del Gobierno, en solicitud de que el Tribunal dicte en su dia Sentencia. Se hallan, pues, conclusas, pendientes de señalamiento para deliberación y votación. En las registradas con los números 578, 579, 580, 581, 642, 643, 644, 645, 646, 685, 704, 1019, 1033, 1061, 1088, 1139, 1159, 1177, 1178, 1182, 1203, 1204 y 1205 de 1 .985,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5 de Marzo último y solicita la suspensión de la tramitación de la presente cuestión, como se ha acordado en otras similares, hasta que recaiga sentencia en las ya acumuladas, reproduciendo las alegaciones efectuadas en relación con la cuestión 1088/85.</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14 de marzo de 1.986, en el que formula alegaciones en solicitud de que en su día se dicte Sentencia, e interesa asimismo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mas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145/86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