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50/85, planteó la presente cuestión de inconstitucionalidad, admitida a trámite por providencia de la Sección Primera de 19 de marzo de 1986, en relación con la Ley 5/1983, de 29 de junio, de Medidas Urgentes en Materia Presupuestaria, Financiera y Tributaria, en su disposición adicional 6ª, número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380,381, 389, 390, 395, 396, 397, 398, 399, 400, 430, 431, 444, 445,446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y 1205,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10 de abril último, en el que formula alegaciones en solicitud de que en su día se dicte Sentencia, e interesa asimismo la acumulación de la presente cuestión a las ya acumuladas por Auto de 16 de julio de 1985.</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11 de abril último y solicita la suspensión de la tramitación de la presente cuestión, como se ha acordado en otras similares, hasta que recaiga sentencia en las ya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248/86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