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23 de enero, Dª. María Paz Rodríguez Pérez actuando en su propio nombre y sin asistencia de Letrado, interpone recurso de amparo contra la Sentencia del Juzgado de Primera Instancia n° 2 de Santander, de 31 de julio de 1985 y la Sentencia de la Audiencia Territorial de Burgos, de fecha 15 de enero de 1986, que confirmó la anterior.</w:t>
      </w:r>
    </w:p>
    <w:p w:rsidRPr="00C21FFE" w:rsidR="00AD51A7" w:rsidRDefault="008777C4">
      <w:pPr>
        <w:rPr/>
      </w:pPr>
      <w:r w:rsidRPr="&lt;w:rPr xmlns:w=&quot;http://schemas.openxmlformats.org/wordprocessingml/2006/main&quot;&gt;&lt;w:lang w:val=&quot;es-ES_tradnl&quot; /&gt;&lt;/w:rPr&gt;">
        <w:rPr/>
        <w:t xml:space="preserve">Los antecedentes que están a la base del presente recurso son los siguientes</w:t>
      </w:r>
    </w:p>
    <w:p w:rsidRPr="00C21FFE" w:rsidR="00AD51A7" w:rsidRDefault="008777C4">
      <w:pPr>
        <w:rPr/>
      </w:pPr>
      <w:r w:rsidRPr="&lt;w:rPr xmlns:w=&quot;http://schemas.openxmlformats.org/wordprocessingml/2006/main&quot;&gt;&lt;w:lang w:val=&quot;es-ES_tradnl&quot; /&gt;&lt;/w:rPr&gt;">
        <w:rPr/>
        <w:t xml:space="preserve">-La actora, separada de hecho de su cónyuge desde hacía dos años, presentó el 10 de enero de 1984 ante el Juzgado de Primera Instancia de Santander, demanda de separación conyugal, desestimada por Sentencia de 31 de julio de 1985.</w:t>
      </w:r>
    </w:p>
    <w:p w:rsidRPr="00C21FFE" w:rsidR="00AD51A7" w:rsidRDefault="008777C4">
      <w:pPr>
        <w:rPr/>
      </w:pPr>
      <w:r w:rsidRPr="&lt;w:rPr xmlns:w=&quot;http://schemas.openxmlformats.org/wordprocessingml/2006/main&quot;&gt;&lt;w:lang w:val=&quot;es-ES_tradnl&quot; /&gt;&lt;/w:rPr&gt;">
        <w:rPr/>
        <w:t xml:space="preserve">-Interpuesto recurso de apelación ante la Audiencia Territorial de Burgos, fue desestimado por Sentencia de fecha 15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considera violados los arts. 14, 15, 16, 17 y 24 de la CE. Alega que durante la celebración del juicio de instancia se le preguntó "... si reconocía que desde hacía año y medio no practicaba la religión católica", pregunta que califica de inconstitucional, así como a la Sentencia del Juzgado de Santander por cuanto considera que nadie puede obligarla a cumplir sus deberes matrimoniales contra su voluntad, so pena de violar los arts. 14, 15, 16 y 17 de la Constitución, así como todos los derechos de la persona.</w:t>
      </w:r>
    </w:p>
    <w:p w:rsidRPr="00C21FFE" w:rsidR="00AD51A7" w:rsidRDefault="008777C4">
      <w:pPr>
        <w:rPr/>
      </w:pPr>
      <w:r w:rsidRPr="&lt;w:rPr xmlns:w=&quot;http://schemas.openxmlformats.org/wordprocessingml/2006/main&quot;&gt;&lt;w:lang w:val=&quot;es-ES_tradnl&quot; /&gt;&lt;/w:rPr&gt;">
        <w:rPr/>
        <w:t xml:space="preserve">Mediante Providencia del pasado 9 de abril, la Sección Tercera de este Tribunal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81,-ambos de la LOTC, por cuanto la recurrente comparece sin representación ni asistencia letrada;</w:t>
      </w:r>
    </w:p>
    <w:p w:rsidRPr="00C21FFE" w:rsidR="00AD51A7" w:rsidRDefault="008777C4">
      <w:pPr>
        <w:rPr/>
      </w:pPr>
      <w:r w:rsidRPr="&lt;w:rPr xmlns:w=&quot;http://schemas.openxmlformats.org/wordprocessingml/2006/main&quot;&gt;&lt;w:lang w:val=&quot;es-ES_tradnl&quot; /&gt;&lt;/w:rPr&gt;">
        <w:rPr/>
        <w:t xml:space="preserve">b) La del art. 50.1.b) en relación con el 49.1, ambos de la LOTC, por falta de precisión de la demanda de amparo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presentado sus alegaciones el Ministerio Fiscal a juicio del cual concurren las causas de inadmisión que la Providencia detalla, amén de otras, como por ejemplo, la de no presentar copia, traslado o certificación de la resolución judicial impugnada, que aquella omite. La recurrente, por su parte, no ha presentado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Único.-La no subsanación, dentro del plazo concedido de acuerdo con lo previsto en el art. 50 de la LOTC de la causa de inadmisión a la que se refiere nuestra Providencia en primer término, la convierte en insubsanable y hace, por tanto, inadmisible, el presente recurso de amparo, sin que sea necesario por ello analizar la concurrencia de la segunda de las causas de inadmisión señaladas.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