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Valencia, en su recurso número 284/85, plantea cuestión de inconstitucionalidad, admitida a trámite por providencia de 30 de abril de 1986 de la Sección Primera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9º, 3, 31.3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 Territoriales de Pamplona y Cáceres han planteado también cuestiones de inconstitucionalidad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579,580, 581, 642, 643, 644, 645, 646, 685, 704, 1019, 1033, 1061, 1088, 1139, 1159, 1177, 1178, 1182, 1203, 1204, 1205, de 1985, y 75, 76, 77, 78, 79, 80, 81, 93, 94, 95, 145, 146, 246, 248 y 311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28 de mayo último y solicita de este Tribunal que, a semejanza de lo acordado en otras similares, suspenda la tramitación de la misma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alegaciones en escrito presentado el 31 de mayo último, solicita igualmente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varías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455/86 a las ya acumuladas señaladas en el Antecedente 2º.</w:t>
      </w:r>
    </w:p>
    <w:p w:rsidRPr="" w:rsidR="00AD51A7" w:rsidRDefault="008777C4">
      <w:pPr>
        <w:rPr/>
      </w:pPr>
      <w:r w:rsidRPr="&lt;w:rPr xmlns:w=&quot;http://schemas.openxmlformats.org/wordprocessingml/2006/main&quot;&gt;&lt;w:szCs w:val=&quot;24&quot; /&gt;&lt;/w:rPr&gt;">
        <w:rPr/>
        <w:t xml:space="preserve">2ª.-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