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611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 Administrativo de la Audiencias Provincial de Santa Cruz de Tenerife, en su recurso número 149/85, planteó la presente cuestión de inconstitucionalidad, admitida a trámite por providencia de la Sección Segunda, de 4 de Junio de 1986, en relación con la Ley 5/1985, de 29 de junio, de Medidas Urgentes en Materia Presupuestaria, Financiera y Tributaria, en su disposición adicional 6ª, número 3, en cuanto crea un gravamen complementario para 1983 a la Tasa de juego sobre máquinas de azar, por poder infringir la misma los artículos 134.7, 9.3,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Caceres, han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380.381, 389, 390, 395, 396, 397, 398, 399, 400, 430, 431, 444, 445, 446 y 447, todas ellas de 1985, fueron acumuladas por Auto del Pleno de 16 de julio del pasado año, por darse los presupuestos previstos en el artículo 83 de la Ley Orgánica del Tribunal Constitucional (L0TC),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1019, 1033, 1061, 1088, 1139, 1159, 1177, 1178, 1182, 1203, 1204, 1205 de 1985 y 75, 76, 77, 78, 79, 80, 81, 93, 94, 95, 145, 146, 246, 248, 311, 424 y 475 de 1986, el Tribunal acordó no acceder a la acumulación solicitada y decidió suspender la tramitación de cada uno de los procesos hasta que recayera Sentencias en las ya acumuladas, en razón a facilitar la más pronta</w:t>
      </w:r>
    </w:p>
    <w:p w:rsidRPr="00C21FFE" w:rsidR="00AD51A7" w:rsidRDefault="008777C4">
      <w:pPr>
        <w:rPr/>
      </w:pPr>
      <w:r w:rsidRPr="&lt;w:rPr xmlns:w=&quot;http://schemas.openxmlformats.org/wordprocessingml/2006/main&quot;&gt;&lt;w:lang w:val=&quot;es-ES_tradnl&quot; /&gt;&lt;/w:rPr&gt;">
        <w:rPr/>
        <w:t xml:space="preserve">resolución en estas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Fiscal General del Estado, mediante escrito presentado el 18 de junio último, formula sus alegaciones solicitando la suspensión de la presente cuestión hasta que recaiga sentencia en las ya acumuladas.</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presentado el 28 de junio último y, solicita que se suspenda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articulo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que acceder a la acumulación, con el fin de no retardar excesivamente la conclusión de los ya acumulados -dado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572/ 86 a las ya acumuladas señaladas en el Antecedente segundo.</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