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Paolo Piconi, de nacionalidad italiana, se dirige a este Tribunal por escrito registrado de entrada el día 13 de febrero de 1986 y al gue se adhieren D. Francesco Piconi y D. Mario Armini.</w:t>
      </w:r>
    </w:p>
    <w:p w:rsidRPr="00C21FFE" w:rsidR="00AD51A7" w:rsidRDefault="008777C4">
      <w:pPr>
        <w:rPr/>
      </w:pPr>
      <w:r w:rsidRPr="&lt;w:rPr xmlns:w=&quot;http://schemas.openxmlformats.org/wordprocessingml/2006/main&quot;&gt;&lt;w:lang w:val=&quot;es-ES_tradnl&quot; /&gt;&lt;/w:rPr&gt;">
        <w:rPr/>
        <w:t xml:space="preserve">Expone que fue detenido en Alicante el 19 de julio de 1983 y desde entonces se encuentra en situación de prisión provisional bajo la acusación de atraco (sic).</w:t>
      </w:r>
    </w:p>
    <w:p w:rsidRPr="00C21FFE" w:rsidR="00AD51A7" w:rsidRDefault="008777C4">
      <w:pPr>
        <w:rPr/>
      </w:pPr>
      <w:r w:rsidRPr="&lt;w:rPr xmlns:w=&quot;http://schemas.openxmlformats.org/wordprocessingml/2006/main&quot;&gt;&lt;w:lang w:val=&quot;es-ES_tradnl&quot; /&gt;&lt;/w:rPr&gt;">
        <w:rPr/>
        <w:t xml:space="preserve">Al cumplirse los dieciocho meses de prisión provisional solicitó la libertad, que le fue denegada, amplíandose a treinta meses la situación de privación de libertad. Agotado este último período, el interesado solicitó nuevamente su puesta en libertad, que le ha sido denegada al parecer por la Audiencia Nacional, lo que en su opinión es inconstitucional puesto que no cabe dar fuerza retroactiva a la Ley 10/84, lo que estaría en contradicción con el art. 9.3 CE y 25.1 del Código Penal(sic).</w:t>
      </w:r>
    </w:p>
    <w:p w:rsidRPr="00C21FFE" w:rsidR="00AD51A7" w:rsidRDefault="008777C4">
      <w:pPr>
        <w:rPr/>
      </w:pPr>
      <w:r w:rsidRPr="&lt;w:rPr xmlns:w=&quot;http://schemas.openxmlformats.org/wordprocessingml/2006/main&quot;&gt;&lt;w:lang w:val=&quot;es-ES_tradnl&quot; /&gt;&lt;/w:rPr&gt;">
        <w:rPr/>
        <w:t xml:space="preserve">Indica que "para empezar, cabe interponer recurso ante la Sala y en el supuesto improbable de que no fuese apreciado el mismo, se pueden emprender lógicamente otras acciones previstas y seguramente conocidas por el Abogado defensor".</w:t>
      </w:r>
    </w:p>
    <w:p w:rsidRPr="00C21FFE" w:rsidR="00AD51A7" w:rsidRDefault="008777C4">
      <w:pPr>
        <w:rPr/>
      </w:pPr>
      <w:r w:rsidRPr="&lt;w:rPr xmlns:w=&quot;http://schemas.openxmlformats.org/wordprocessingml/2006/main&quot;&gt;&lt;w:lang w:val=&quot;es-ES_tradnl&quot; /&gt;&lt;/w:rPr&gt;">
        <w:rPr/>
        <w:t xml:space="preserve">Finalmente anuncia que a partir de la fecha del escrito se declara en huelga de hambre hasta llegar a las últimas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16 de abril, la Sección Segunda puso de manifiesto al recurrente y al Ministerio Fiscal la existencia de la causa de inadmisión a que se refiere el art. 50.1.b), en relación con el 81, ambos de la LOTC por no comparecer el recurrente representado por Procurador y asistido de Letrado. Concedió diez días para alegar sobre dicha causa de inadmisión o subsanarla.</w:t>
      </w:r>
    </w:p>
    <w:p w:rsidRPr="00C21FFE" w:rsidR="00AD51A7" w:rsidRDefault="008777C4">
      <w:pPr>
        <w:rPr/>
      </w:pPr>
      <w:r w:rsidRPr="&lt;w:rPr xmlns:w=&quot;http://schemas.openxmlformats.org/wordprocessingml/2006/main&quot;&gt;&lt;w:lang w:val=&quot;es-ES_tradnl&quot; /&gt;&lt;/w:rPr&gt;">
        <w:rPr/>
        <w:t xml:space="preserve">Dentro del plazo concedido ha expuesto el Ministerio Fiscal su opinión positiva en cuanto a la circunstancia de la mencionada causa de inadmisión, sin que el recurrente hiciera manifestación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se recoge en los Antecedentes, se le dio al Sr. Piconi la posibilidad de formalizar su demanda de amparo en la forma prevista en nuestra Ley Orgánica, compareciendo ante nosotros a través de Procurador y con la asistencia letrada. No habiendo aprovechado el plazo que se le dio para ello, es claro que su escrito no puede ser admitido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inadmisibilidad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