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849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dia 24 de julio de 1986, el Procurador de los Tribunales D. Jesús Alfaro Matos, en nombre y representación del Comité de Empresa de Ford España, S.A., formaliza demanda de amparo contra la sentencia de la Sala Primera de la Audiencia Territorial de Valencia de 7 de mayo de 1986, dictada en recurso contencioso administrativo número 408/1.984, promovido por la Empresa Ford España, S.A. contra resolución de la Dirección General de Trabajo de la Consejería de Trabajo y Seguridad Social de la Generalidad Valenciana, por entenderla generadora de una situación de indefensión, que vulnera el art. 24.1 de la Constitución.</w:t>
      </w:r>
    </w:p>
    <w:p w:rsidRPr="00C21FFE" w:rsidR="00AD51A7" w:rsidRDefault="008777C4">
      <w:pPr>
        <w:rPr/>
      </w:pPr>
      <w:r w:rsidRPr="&lt;w:rPr xmlns:w=&quot;http://schemas.openxmlformats.org/wordprocessingml/2006/main&quot;&gt;&lt;w:lang w:val=&quot;es-ES_tradnl&quot; /&gt;&lt;/w:rPr&gt;">
        <w:rPr/>
        <w:t xml:space="preserve">Asimismo se solicita la suspensión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Admitida la demanda a trámite, la Sección 4ª de este Tribunal, por Providencia de 10 de septiembre de 1.986, acordó formar la pieza separada de suspensión y, conforme a lo dispuesto en el art. 56.2 de la L.O.T.C., otorgar un plazo común de tres días al Ministerio Fiscal y a los recurrentes a fin de que aleguen lo que estimen procedente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plazo señalado, el Fiscal presentó sus alegaciones. La cuestión de fondo planteada por los trabajadores ante las autoridades administrativas y en el procedimiento contencioso-administrativo consiste en la legalidad del cambio de horario de trabajo decidido por la empresa; pero el tema planteado ante el Tribunal Constitucional es el de la existencia de una posible indefensión en el citado procedimiento judicial por no haber sido emplazado en el mismo, en forma personal y directa el comité de empresa, a pesar de haber sido parte en el procedimiento administrativo precedente y constar en el expediente el domicilio al que efectuar el emplazamiento. De ello resulta que la ejecución del fallo judicial, es decir, la aplicación de un nuevo horario laboral, no supone un perjuicio irremediable, pues, de otorgarse el amparo, podría repetirse el proceso con asistencia de los recurrentes, y de cambiarse el sentido del fallo volver al horario antiguo. Si se apreciase algún perjuicio, que nunca sería irreversible, podría ser reparado por otros medios. Existe además, un interés general en el cumplimiento de las resoluciones judiciales, así como el derecho de tutela judicial de tercero en este caso la empresa. Por todo ello el Fiscal solicitó que no se acceda a la suspensión solicitada. El recurrente no formuló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dispone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y de los derechos fundamentales o libertades públicas de un tercero. En el presente caso, como señala el Ministerio Fiscal, no se aprecia que la ejecución de la sentencia recurrida haga perder al amparo su finalidad, caso de ser otorgado, pues la concesión de ese otorgamiento sería la repetición de proceso contencioso-administrativo, previo emplazamiento personal y directo del recurrente, y en la hipótesis de que una nueva sentencia obligase a volver al horario anterior no se habría producido ningún perjuicio irreparable. Tanto es así que tampoco el recurrente concreta cual pueda ser éste.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Constitucional ha admitido, junto al caso de suspensión previsto en el citado art. 56.1 de la L.O.T.C. otrOs, en que aún no existiendo un perjuicio irreparable, la suspensión podía ser acordada ponderando los intereses en presencia y los daños que se irrogarían a los interesados en caso de ejecutarse el acto recurrido. Pero tampoco aquí procede esa suspensión facultativa, pues como advierte el Fiscal, la suspensión, si bien sería favorable a los intereses de los trabajadores, no la sería a los de la empresa, por lo que debe darse preferencia al mantenimiento de la decisión judicial hasta tanto no se decida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denegar la suspensión solicitada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