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857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23 de octubre de 1986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El Consejo Ejecutivo de la Generalidad de Cataluña, representado por el Abogado Don Ramón María Llevadot i Roig, mediante escrito presentado el 2 de julio de 1986, plantea conflicto positivo de competencia frente al Gobierno de la Nación, en relación con los artículos 5; 6; 8; 9; 10; 11; 12 y Disposición Adicional del Real Decreto 382/1986, de 10 de febrero, por el que se crea, organiza y regula el funcionamiento del Registro de Entidades Locales.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Dicho conflicto, registrado con el número 732/86, es admitido a trámite por providencia de 9 de julio actual, de la Sección 2ª del Pleno de este Tribunal, en la que, a los efectos del art. 64.1 de la Ley Orgánica del mismo (LOTC), se acuerda dar traslado de la demanda y documentación adjunta al Gobierno 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El Gobierno Vasco, representado por el Abogado don Javier Balza Aguilera, por escrito presentado el 5 de julio del corriente, plantea asimismo conflicto positivo de competencia en relación con el articulo 7 y la Disposición Adicional, párrafo segundo, del Real Decreto 382/1986, de 10 de febrero, por el que se crea, organiza y regula el funcionamiento del Registro de Entidades Locales.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El mencionado conflicto, registrado con el número 747/86, es admitido a trámite por providencia de 9 de julio actual dictada por la Sección 3ª del Pleno de este Tribunal, acordándose en ella el correspondiente traslado al Gobierno de la Nación para personación y alegaciones.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El Letrado del Estado, en la representación procesal del Gobierno, comparece en escrito de 3 de septiembre de 1986, en el que solicita que, atendida la identidad de naturaleza procesal y la conexión de objeto y fundamentos de los conflictos números 732/86 y 747/86, planteados, respectivamente, por el Consejo Ejecutivo de la Generalidad de Cataluña y por el Gobierno Vasco, se acuerde la acumulación de los mismos para su ulterior tramitación y decisión unitarias, suspendiéndose, entre tanto, el plazo que le fue conferido para formulación de alegaciones.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4. La Sección 3ª del Pleno del Tribunal, en providencia de 10 de septiembre del presente año, acuerda oír a los Abogados representantes del Consejo Ejecutivo de la Generalidad de Cataluña y del Gobierno Vasco para que expongan lo que estimaren procedente respecto a la acumulación solicitada por el Letrado del Estado. Transcurrido el plazo concedido por la anterior providencia no se han presentado alegaciones por ninguna de las partes.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Único.- Los dos conflictos positivos de competencia han sido planteados en relación con el mismo Real Decreto, 382/ 86 por el que se crea, organiza y regula el funcionamiento del Registro de Entidades Locales. Se encuentra justificada, por lo tanto, en razón a su conexión objetiva, según lo establecido en el art. 83 LOTC, la unidad de tramitación y decisión de ambos procesos.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Por lo expuesto, el Pleno acuerda acumular el conflicto positivo registrado con el número 747/86, planteado por el Gobierno Vasco, al registrado con el número 732/86 interpuesto por el Consejo Ejecutivo de la Generalidad de Cataluña. Se concede un nuevo plazo de veinte dias al Letrado del Estado para que con relación a ambos conflictos de competencia presente las alegaciones que considere convenientes.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veintitrés de octubre de mil novecientos ochenta y seis.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