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919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Don Francisco Romero Pinazo por medio de Abogado y Procurador, compareció ante este Tribunal promoviendo recurso de amparo frente a la sentencia de la Audiencia Provincial de Huelva de fecha 4 de junio de 1985 y confirmada en casación, dictada en proceso por delitos contra la salud pública, receptación y tenencia ilícita de arma.</w:t>
      </w:r>
    </w:p>
    <w:p w:rsidRPr="00C21FFE" w:rsidR="00AD51A7" w:rsidRDefault="008777C4">
      <w:pPr>
        <w:rPr/>
      </w:pPr>
      <w:r w:rsidRPr="&lt;w:rPr xmlns:w=&quot;http://schemas.openxmlformats.org/wordprocessingml/2006/main&quot;&gt;&lt;w:lang w:val=&quot;es-ES_tradnl&quot; /&gt;&lt;/w:rPr&gt;">
        <w:rPr/>
        <w:t xml:space="preserve">En el referido escrito se solicitaba la designación de Abogado y Procurador del turno de oficio para formalizar la demanda de amparo, pues el Procurador compareciente venía designado de la vía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 solicitud de amparo y documentos aportados aparece que el solicitante gozó del beneficio de justicia gratuita en la vía judicial por lo que se encuentra comprendido en el supuesto previsto en el artículo 2º de las Normas para la defensa por pobre en los procesos constitucionales aprobadas por Acuerdo de este Tribunal de 20 de diciembre de 1982 (Boletín Oficial del Estado de 9 de febrero de 1983).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otorgar a don Francisco Romero Pinazo el beneficio de gratuidad para litigar en el presente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