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137/85, planteó la presente cuestión de inconstitucionalidad, admitida a trámite por providencia de 29 de octubre de 1986, de la Sección Primera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articulo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729, 753, 754, 864, 865, 993 y 1082 de 1986, el Tribunal acordó no-acceder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18 de noviembre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20 de noviembre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 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