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1058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4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645/85, planteó la presente cuestión de inconstitucionalidad, admitida a trámite por providencia de 29 de octubre de 1986, de la Sección Segunda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infringir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de Pamplona, Cáceres, Valencia y Santa Cruz de Tenerife,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 377, 378, 379, 380, 381, 389, 390, 395, 396, 397, 398, 399, 400, 430, 431, 444, 445, 446 y 447, todas ellas de 1985, fueron acumuladas por auto del Pleno de 16 de julio del pasado año, por darse los presupuestos previstos en el 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 1182, 1203, 1204, 1205, de 1985 y 75, 76, 77, 78, 79, 80, 81, 93, 94, 95, 145, 146, 246, 248, 311, 424, 475, 550, 568, 572, 664, 718, 729, 753, 754, 864, 865, 993 y 1082 de 1986, el Tribunal acordó no acceder a la acumulación solicitada y decidió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de 18 de noviembre último y solicita la suspensión de la misma hasta que recaiga sentencia en las varias acumuladas que están en trámite.</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de 22 de noviembre último y solicita también, por otrosí, que se suspenda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msimo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obliga en la presente cuestión a mantener el mismo criterio, tal como ha sido solicitado por el Ministerio Fiscal y el Letrado del Estado.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