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1064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dia 24 de abril pasado tuvo entrada en este Tribunal demanda de amparo de la Sociedad Anónima de Seguros y Reaseguros Previsión Española, impugnando la Sentencia dictada por el Juzgado de Distrito número Dos de Cartagena de 16 de abril de 1985, confirmada en apelación, y contra Auto del mismo Juzgado de 24 de octubre del mismo año dictado en ejecución de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fue admitida a trámite siguiéndose los preceptivos hasta el de alegaciones que regula el artículo 52.1 de la Ley Orgánica de este Tribunal, en el que el Ministerio Fiscal pidió la práctica de las pruebas testifical y documental que se indicarán.</w:t>
      </w:r>
    </w:p>
    <w:p w:rsidRPr="00C21FFE" w:rsidR="00AD51A7" w:rsidRDefault="008777C4">
      <w:pPr>
        <w:rPr/>
      </w:pPr>
      <w:r w:rsidRPr="&lt;w:rPr xmlns:w=&quot;http://schemas.openxmlformats.org/wordprocessingml/2006/main&quot;&gt;&lt;w:lang w:val=&quot;es-ES_tradnl&quot; /&gt;&lt;/w:rPr&gt;">
        <w:rPr/>
        <w:t xml:space="preserve">De dicha petición se dio traslado a la parte demandan dante que nada ha alegado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parte demandante nada ha opuesto a la petición del Ministerio Fiscal, estimándose pertinentes las actuaciones probatorias que interesa.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el recibimiento a prueba del presente recurso por plazo de treinta días para practicar las pruebas propuestas por el Ministerio Fiscal; para lo cual se librará el correspondiente despacho al Juzgado de Distrito número Dos de Cartagena.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