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11 de octubre de 1986, el Procurador de los Tribunales don Santos de Gandarillas Carmona interpone recurso de amparo, en nombre y representación de «Curipa, S. A.», contra Sentencia de 15 de septiembre de 1986 de la Sala Segunda de lo Civil de la Audiencia Territorial de Madrid, resolutoria de apelación contra la dictada por el Juzgado de Primera Instancia núm. 9 de la misma capital, en juicio ejecutivo, así como frente al Auto de la expresada Sala, de 29 de septiembre de 1986, por el que se declara no haber lugar a la pretensión de haberse producido error material manifiesto en su Sentencia de la indicada fecha. Como fundamento de la demanda de amparo se alega la vulneración del derecho a la tutela juidicial efectiva y el de utilizar los medios de prueba pertinentes para la propia defensa (art.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tiene su origen en los siguientes hechos: La recurrente fue condenada por el Juzgado de Primera Instancia núm. 8 de Madrid a responder, como garante solidaria, de una póliza de préstamo, tras no prosperar la excepción de falsedad del título ejecutivo y habiéndole sido previamente embargados bienes para responder del principal ( 11.500.000 pesetas) y de los intereses y costas (4.000.000 de pesetas). Formulada apelación por la hoy recurrente ante la Audiencia Territorial de Madrid, y habiendo sido el pleito recibido a prueba (documental) el 15 de septiembre de 1986, la Audiencia dictó Sentencia desestimando el recurso y declarando, en el tercero de sus resultandos, haber transcurrido el término por el que el pleito fue recibido a prueba «sin la aportación de ningún documento». La actora presentó escrito interesando la rectificación de error material manifiesto derivado de la no incorporación de la prueba que afirma haber aportado, y la Sala dictó Auto declarando no haber lugar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de amparo, la representación de la recurrente solicita sea suspendida la ejecución de las Sentencias impugnadas, porque de ejecutarse se consumarían todas las consecuencias de la indefensión sufrida por su representada, y se subastarían sus bienes, con lo que el perjuicio que sufriría sería auténticamente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la demanda, la Sección Tercera (Sala Segunda) de este Tribunal, por providencia de 5 de noviembre de 1986, acuerda formar pieza separada de suspensión y, conforme a lo dispuesto en el art. 56.2 de la Ley Orgánica del mismo (LOTC), otorgar un plazo común de tres días al Ministerio Fiscal y a la parte recurrente para que aleguen lo que estimen procedente respecto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14 de noviembre de 1986, se manifiesta conforme con la petición de la recurrente por cuanto, de no accederse a la misma, «si el recurso prospera se podría en abstracto recobrar los bienes por la recurrente, pero en concreto supondría una serie de perjuicios e inconvenientes que crearían una situación que no podría íntegramente repararse, e incluso podría devenir imposible dicha restitución». Con todo, considera que se debería exigir a la recurrente la garantía que el Tribunal estime pertinente a los efectos de afianzar los posibles perjuicios económicos que pudierna derivarse de la falta de disponibilidad y pérdida de intereses que la suspensión de la efectividad de la Sentencia supondría para la demandante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por escrito registrado el 17 de noviembre de 1986, reitera su petición de suspensión de la ejecución de las indicadas Sentencias, relacionando los bienes que le han sido embargados para responder del principal, intereses y costas, los cuales, de ser subastados, aun cuando se declarase la nulidad del título ejecutivo, no podrían ser reivindicados de quienes legítimamente los hayan adquirido en subasta.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reclama el amparo constitucional, cuando la ejecución hubiera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la Sala ha entendido que existen otros de suspensión facultativa, en los cuales puede concederse la suspensión valorando los intereses en presencia y teniendo en cuenta, a tal efecto, el interés general que existe en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parte recurrente solicita la suspensión de la ejecución de la Sentencia recurrida en amparo, que es la dictada por la Sala Segunda de la Audiencia Territorial de Madrid, con fecha 15 de septiembre de 1986 (rollo 1.289/83), que confirma en todas sus partes la del Juzgado de Primera Instancia núm. 8 de Madrid por la que, a su vez, estimando la demanda de juicio ejecutivo, se ordenaba «seguir adelante la ejecución hasta hacer trance y remate de los bienes de los demandados, y con su producto cumplido y entero pago a la actora de la cantidad de 11.500.000 pesetas, más los intereses vencidos y no satisfechos a razón del 20 por 100 anual y los intereses de demora del 22 por 100 anual y a las costas causadas y que se causen hasta la liquidación de tales sumas».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procede acordar la suspensión, dado que, como señala el Ministerio Fiscal, si bien el recurrente podría en abstracto, y de prosperar la excepción de nulidad del titulo ejecutivo, recobrar sus bienes, en concreto se le originaría una serie de perjuicios e inconvenientes que no quedarían en este supuesto compensados por la consideración del interés general que existe en la ejecución de las resoluciones judiciales; por lo demás, tampoco se aprecia que de la suspensión solicitada pueda seguirse perturbación grave de los intereses generales o de los derechos fundamentales o libertades públicas de un tercero.  No procede la prestación del afianzamiento al que se refiere el Ministerio Fiscal porque, al estar embargados los bienes, constituye este embargo adecuada garantía para el caso de que proceda finalmente su enajenación.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suspensión de la ejecución de la Sentencia de 15 de septiembre de 1986 dictada por la Sala Segunda de la Audiencia Territorial de Madrid en el rollo de apelación núm.  1.289/83.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