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27/84, planteó la presente cuestión de inconstitucionalidad, admitida a trámite por providencia de 19 de noviembre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infringir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de Pamplona, Cáceres, Valencia y Santa Cruz de Tenerife,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432, 433, 434, 455, 459, 460, 475, 550, 568, 572, 644, 664, 698, 718, 753, 754, 864, 865, 929, 993, 1082, 1094, 1115, 1116, 1117, 1118 y 1119 de 1986, el Tribunal acordó no acceder a la acumulación solicitada y decidio suspender la tramitación de cada uno de los procesos hasta que recayera sentencia en las ya acumuladas, con el fin de facílitar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11 de diciembre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12 de diciembre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obliqa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