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267/84, planteó la presente cuestión de inconstitucionalidad, admitida a trámite por providencia de 3 de diciembre de 1986, de la Sección Cuarta del Pleno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inflingir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 1985,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704,956, 1019, 1033, 1061, 1088, 1139, 1159, 1177, 1178, 1182, 1203, 1204 y 1205 de 1985, y 75, 76, 77, 78, 79, 80, 81, 93, 94, 95, 145, 146, 246, 248, 311, 424, 432, 433, 434, 455, 459,460, 475, 550, 568, 572, 644, 698, 718, 753, 754, 864, 865, 929, 993, 1082, 1094, 1115, 1116, 1117, 1118 y 1119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Letrado del Estado se persona, mediante escrito de 16 de diciembre de 1986, en el que solicita, por medio de otrosí, que se suspenda la tramitación de la presente cuestión hasta que recaiga sentencia sobre las que, con el mismo objeto, han sido acumuladas por el Tribunal.</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de 18 de diciembre último y solicita la suspensión de la presente cuestión hasta que recaiga sentencia en las varias acumuladas que están en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