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enero de 1987, el Procurador don Ramiro Reynolds de Miguel, en nombre de don Juan Antonio Gutiérrez García, interpuso recurso de amparo contra la resolución de la Dirección General de la Policía, notificada el 26 de noviembre de 1985, por el que se comunica su baja en la situación de agregado en Badajoz y se ordena su traslado a Barcelona. Se fundamenta el recurso en los antecedentes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funcionario de la Escala Básica del Cuerpo Nacional de Policía, con destino en Barcelona. Fue trasladado a Badajoz en 1983, por motivos de enfermedad de su esposa, en calidad de agregado, en cuya ciudad debería permanecer hasta que le correspondiere destino definitivo en ella. En noviembre de 1985 se le comuncia por la Dirección General de la Policía su baja en la situación de agregado en Badajoz. Contra esta resolución interpuso recurso de reposición y posterior recurso contencioso-administrativo.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contencioso-administrativo se fundó en tres motivos: nulidad del acuerdo recurrido por defecto de forma, revocación ilegal de acto declarativo de derechos, como fue la orden de traslado a Badajoz, e infracción del principio de igualdad. La Audiencia Territorial de Cáceres dictó Sentencia el 2 de diciembre de 1986 desestimando el recurso. Contra la misma se interpuso recurso de apelación, dictándose Auto por la Audiencia, de fecha 16 de diciembre de 1986, por el que se declaraba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 impugnado infringe el art. 14 de la Constitución Española (C.E.) y el derecho fundamental recogido en el mismo, pues revoca otro acto declarativo de derechos y no de concesión graciable, como considera la Sentencia mencionada de la Audiencia de Cáceres, modificando la situación personal y laboral de determinados funcionarios y no de otros que ostentaban derechos menos preferentes que los del recurrente y fueron también trasladados a Badajoz en calidad de agregados.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ellos menciona a algunos con número inferior al escalafón al del recurrente, a otros que han adquirido destino definitivo en Badajoz, por razones que dice desconocer, y a otro que continúa de agregado sin haber recibido orden de traslado, a pesar de tener número menos preferente que el recurrente. Por todo ello, se solicita de este Tribunal que declare la nulidad del acto administrativo impugnado. Asimismo, se solicita que se acuerde la suspensión de la ejecución de dicho acto, dado los graves perjuicios que tal ejecución podría ocasionar al recurrente,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la Sección acordó, conforme a lo dispuesto en el art. 50 de la Ley Orgánica del Tribunal Constitucional (LOTC), conceder al solicitante de amparo y al Ministerio Fiscal un plazo de diez días para que formulasen alegaciones en relación con la posible concurrencia del motivo de inadmisión consistente en carecer la demanda manifiestamente de contenido que justifique una decisión por parte del Tribunal Constitucional, a que se refiere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la inadmisión del recurso de amparo. Aduce que el traslado efectuado no fue singular, sino para el personal en situación de agregado en la Unidad a la que pertenecia el recurrente, siendo éste uno de los relacionados. Por otra parte, el traslado de este último fue declarado conforme a derecho por los Tribunales, por lo que quien recibe el tratamiento que la Ley permite, cuando se está ante actos de naturaleza graciable, no puede alegar lesión de su derecho a la igualdad por el hecho de que otros, cuyas circunstancias se desconocen, hayan sido tratados distintamente.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alega que la Administración no ha actuado con los mismos criterios en su caso y en el de otros policías nacionales que cambiaron de destino por concesión graciable en condición de agregados y después han pasado a ocupar esas plazas con carácter defintivo y acompaña copia de la Orden General de la Dirección General de la Policía mediante la que se acredita el caso de uno de los policías nacionales mencionados en la demanda de amparo. Solicita, por tanto,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invocada infracción del principio de igualdad ante la Ley (art. 14 de la C.E.)  carece manifiestamente de contenido por dos razones expuestas por el Ministerio Fiscal en su escrito de alegaciones. En primer lugar, el recurrente no aporta un término de comparación válido, pues no refiere las circunstancias de aquellos a quienes dice haberles sido dispensado un tratamiento distinto y más favorable, lo que impide contrastar la supuesta discriminación producida, máxime cuando la Orden de traslado recurrida no es singular sino general para el personal «agregado» de su Unidad.  En segundo lugar, porque, como declara la Sentencia de la Audiencia de Cáceres mencionada en la demanda, el recurrente, con destino en Barcelona, se encontraba trasladado a Badajoz en calidad de «agregado», situación esta no contemplada por las normas jurídicas aplicables, en concreto, en el Reglamento Orgánico de la Policía Gubernativa, de 17 de julio de 1975, por lo que considera la citada Sentencia que el acto por el que se le trasladaba a Badajoz era «de naturaleza meramente graciable, insuficiente para generar un derecho subjetivo», habiendo sido concedida la citada agregaduría «en respuesta a la petición formulada con el carácter de gracia especial con fundamento en motivos extraprofesionales». Por ello, no puede aducirse válidamente el principio de igualdad para consolidar una situación sin fundamento en la legalidad vigente, ni siquiera si se demostrase que se han concedido actos graciables a otros funcionarios, que no han sido revocados, pues como este Tribunal ha reiterado en numerosas ocasiones, la igualdad que proclama el art. 14 de la Constitución lo es en la Ley y en la aplicación de la Ley, pero no en contra o al margen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