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mayo de 1986 tuvo entrada en este Tribunal Constitucional escrito de don Jesús Mª López Sesma manifestando su voluntad de interponer recurso de amparo contra la Sentencia de la Sala Segunda del Tribunal Supremo, de 25 de abril de 1986, recaída en recurso de casación contra otra dictada por la Audiencia Provincial de Palencia en causa por presun—tos delitos de robo y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 que le fueron Abogado y Procurador del turno de oficio, los nombrados formalizaron las correspondientes demanda de amparo y de justicia gratuita, formándose, para sustanciar la segunda, la correspondiente pieza separada en la que el Ministerio Fiscal ha mostrado su conformidad a la concesión del beneficio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recurrente ha gozado del beneficio de justicia gratuita en el proceso judicial previo, por lo que se halla en el supuesto previsto en el artículo 2º de las Normas acerca de la defensa por pobre en los procesos constitucionales, aprobadas por Acuerdo del Pleno de este Tribunal de 20 de diciembre de 1982, publicado en el Boletín Oficial del Estado del 9 de febrero 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don Jesús Mª López Sesma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