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13 de mayo de 1985 la Sala de lo Contencioso-Administrativo de la Audiencia Territorial de Valencia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31 de mayo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de 1985 la Sección 4ª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gue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mediante escrito de 17 de junio de 1985,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El Fiscal General del Estado por escrito de 18 de junio de 1985, y a la vista de las numerosas cuestiones de inconstitucionalidad planteadas sobre el mismo punto, solicitó que se le tuviera por personado, que se tuvieran por reproducidas las alegaciones formuladas en la cuestión 316/85, que se dictara Sentencia declarando que el art. 13.1 de la Ley 24 de 21 de diciembre de 1983 no es inconstitucional, y, gue se acumulara a las que se encontraban en trámite con el mismo objeto.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18 de junio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Senado, por su parte, manifestó que se le tuviera por personado mediante escrito de 19 de junio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17 de octubre de 1985,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quede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13 de mayo de 1985 nos planteaba la Sala de lo Contencioso-Administrativo de la Audiencia Territorial de Valencia.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