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3 de febrero de 1986 la Sala de lo Contencioso-Administrativo de la Audiencia Territorial de Valladolid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11 de marzo de 1986, y se formuló previo cumplimiento de los reguisitos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marzo de 1986 la Sección 4ª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por su parte, manifestó que se le tuviera por personado mediante escrito de 18 de junio de 1986, exponiendo su deseo de ofrecer la colaboración de la Cámará en el procedimiento.</w:t>
      </w:r>
    </w:p>
    <w:p w:rsidRPr="00C21FFE" w:rsidR="00AD51A7" w:rsidRDefault="008777C4">
      <w:pPr>
        <w:rPr/>
      </w:pPr>
      <w:r w:rsidRPr="&lt;w:rPr xmlns:w=&quot;http://schemas.openxmlformats.org/wordprocessingml/2006/main&quot;&gt;&lt;w:lang w:val=&quot;es-ES_tradnl&quot; /&gt;&lt;/w:rPr&gt;">
        <w:rPr/>
        <w:t xml:space="preserve">El Letrado del Estado, mediante escrito de 19 de junio de 1986, y en función de una interpretación del principio de legalidad en materia tributaria mucho menos estricta de la que rige en el campo penal, termina solicitando que se dicte Sentencia declarando la conformidad con la Constitución del artículo 13 de la Ley 24 de 21 de diciembre de 1983.</w:t>
      </w:r>
    </w:p>
    <w:p w:rsidRPr="00C21FFE" w:rsidR="00AD51A7" w:rsidRDefault="008777C4">
      <w:pPr>
        <w:rPr/>
      </w:pPr>
      <w:r w:rsidRPr="&lt;w:rPr xmlns:w=&quot;http://schemas.openxmlformats.org/wordprocessingml/2006/main&quot;&gt;&lt;w:lang w:val=&quot;es-ES_tradnl&quot; /&gt;&lt;/w:rPr&gt;">
        <w:rPr/>
        <w:t xml:space="preserve">El Fiscal General del Estado por escrito de 23 de junio de 1986, y a la vista de las numerosas cuestiones de inconstitucionalidad planteadas sobre el mismo punto, solicitó que se le tuviera por personado y que se suspendiera la tramitación de la Cuestión hasta que recayera Sentencia en alguna de las ya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18 de septiembre de 1986, y pese a la conexión objetiva que la cuestión propuesta tenía con otras que se estaban tramitando, se acordó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 das Locales, declaración que afecta a tal precepto en su enunciado y no en una interpretación determinada del mismo, es claro que ese precepto ha quedado privado de todo efecto. Esta decisión y su necesaria consecuencia priva así de objeto la cuestión que en su auto de 3 de febrero nos planteaba la Sala de lo Contencioso-Administrativo de la Audiencia Territorial de Valladolid.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