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24 de julio de 1986 la Sala de lo Contencioso-Administrativo de la Audiencia Territorial de Barcelona acordó plantear cuestión de inconstitucionalidad del artículo 13.1 de la Ley 24/1983 de 21 de diciembre de Medidas Urgentes de Saneamiento y Regulación de las Haciendas Locales. El Planteamiento de la cuestión de inconstitucionalidad mencionada tuvo entrada en este Tribunal el día 6 de octubre de 1986, y se formuló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octubre de 1986, la Sección 4ª de este Tribunal acordó admitir a trámite la cuestión de inconstitucionalidad propuesta y dar traslado de las actuaciones, en cumplimiento de lo dispuesto en el artículo 37.2 de la LOTC, al Congreso de los Diputados, al Senado, al Gobierno y al Fiscal General del Estado, por los conductos legales, a fin de que en el improrrogable plazo de 15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por escrito de 4 de noviembre de 1986, y a la vista de las numerosas cuestiones de inconstitucionalidad planteadas sobre el mismo punto, solicitó que se le tuviera por personado y que se suspendiera la tramitación de la Cuestión hasta que recayera Sentencia en alguna de las ya propuestas.</w:t>
      </w:r>
    </w:p>
    <w:p w:rsidRPr="00C21FFE" w:rsidR="00AD51A7" w:rsidRDefault="008777C4">
      <w:pPr>
        <w:rPr/>
      </w:pPr>
      <w:r w:rsidRPr="&lt;w:rPr xmlns:w=&quot;http://schemas.openxmlformats.org/wordprocessingml/2006/main&quot;&gt;&lt;w:lang w:val=&quot;es-ES_tradnl&quot; /&gt;&lt;/w:rPr&gt;">
        <w:rPr/>
        <w:t xml:space="preserve">El Presidente del Congreso de los Diputados por escrito de 4 de noviembre de 1986 expuso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Letrado del Estado, mediante escrito de 15 de noviembre de 1986, y en función de una interpretación del principio de legalidad en materia tributaria mucho menos estricta de la que rige en el campo penal, termina solicitando que se dicte sentencia declarando la conformidad con la Constitución del artículo 13 de la Ley 24 de 21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16 de diciembre de 1986 y pese a la conexión objetiva que la cuestión propuesta tenía con otras que se estaban tramitando, se acordó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cuya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24 de julio de 1986 nos planteaba la Sala 23 de lo Contencioso-Administrativo de la Audiencia Territorial de Barcelona.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a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